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0A" w:rsidRPr="00217EA4" w:rsidRDefault="00097AC6" w:rsidP="000474E4">
      <w:pPr>
        <w:spacing w:after="120" w:line="240" w:lineRule="auto"/>
        <w:ind w:left="0"/>
        <w:jc w:val="center"/>
        <w:rPr>
          <w:rFonts w:ascii="Times New Roman" w:hAnsi="Times New Roman" w:cs="Times New Roman"/>
          <w:b/>
          <w:sz w:val="24"/>
          <w:szCs w:val="24"/>
        </w:rPr>
      </w:pPr>
      <w:r>
        <w:rPr>
          <w:rFonts w:ascii="Times New Roman" w:hAnsi="Times New Roman" w:cs="Times New Roman"/>
          <w:b/>
          <w:color w:val="FF0000"/>
          <w:sz w:val="24"/>
          <w:szCs w:val="24"/>
        </w:rPr>
        <w:br/>
      </w:r>
    </w:p>
    <w:p w:rsidR="000474E4" w:rsidRDefault="000474E4" w:rsidP="000474E4">
      <w:pPr>
        <w:spacing w:after="120" w:line="240" w:lineRule="auto"/>
        <w:ind w:left="0"/>
        <w:jc w:val="center"/>
        <w:rPr>
          <w:rFonts w:ascii="Times New Roman" w:hAnsi="Times New Roman" w:cs="Times New Roman"/>
          <w:b/>
          <w:sz w:val="24"/>
          <w:szCs w:val="24"/>
        </w:rPr>
      </w:pPr>
    </w:p>
    <w:p w:rsidR="000474E4" w:rsidRDefault="000474E4" w:rsidP="000474E4">
      <w:pPr>
        <w:spacing w:after="120" w:line="240" w:lineRule="auto"/>
        <w:ind w:left="0"/>
        <w:jc w:val="center"/>
        <w:rPr>
          <w:rFonts w:ascii="Times New Roman" w:hAnsi="Times New Roman" w:cs="Times New Roman"/>
          <w:b/>
          <w:sz w:val="24"/>
          <w:szCs w:val="24"/>
        </w:rPr>
      </w:pPr>
    </w:p>
    <w:tbl>
      <w:tblPr>
        <w:tblW w:w="9072" w:type="dxa"/>
        <w:tblInd w:w="108" w:type="dxa"/>
        <w:tblLook w:val="04A0" w:firstRow="1" w:lastRow="0" w:firstColumn="1" w:lastColumn="0" w:noHBand="0" w:noVBand="1"/>
      </w:tblPr>
      <w:tblGrid>
        <w:gridCol w:w="534"/>
        <w:gridCol w:w="1559"/>
        <w:gridCol w:w="6979"/>
      </w:tblGrid>
      <w:tr w:rsidR="000474E4" w:rsidRPr="00866860" w:rsidTr="001D333B">
        <w:trPr>
          <w:cantSplit/>
          <w:trHeight w:val="1134"/>
        </w:trPr>
        <w:tc>
          <w:tcPr>
            <w:tcW w:w="534" w:type="dxa"/>
            <w:textDirection w:val="btLr"/>
          </w:tcPr>
          <w:p w:rsidR="000474E4" w:rsidRDefault="000474E4" w:rsidP="001D333B">
            <w:pPr>
              <w:spacing w:line="240" w:lineRule="auto"/>
              <w:ind w:left="113" w:right="113"/>
            </w:pPr>
          </w:p>
        </w:tc>
        <w:tc>
          <w:tcPr>
            <w:tcW w:w="1559" w:type="dxa"/>
            <w:shd w:val="clear" w:color="auto" w:fill="auto"/>
          </w:tcPr>
          <w:p w:rsidR="000474E4" w:rsidRPr="00C05C35" w:rsidRDefault="000474E4" w:rsidP="001D333B">
            <w:pPr>
              <w:spacing w:line="240" w:lineRule="auto"/>
              <w:jc w:val="center"/>
              <w:rPr>
                <w:b/>
              </w:rPr>
            </w:pPr>
          </w:p>
        </w:tc>
        <w:tc>
          <w:tcPr>
            <w:tcW w:w="6979" w:type="dxa"/>
            <w:shd w:val="clear" w:color="auto" w:fill="auto"/>
          </w:tcPr>
          <w:p w:rsidR="000474E4" w:rsidRPr="00866860" w:rsidRDefault="000474E4" w:rsidP="001D333B">
            <w:pPr>
              <w:spacing w:line="240" w:lineRule="auto"/>
              <w:jc w:val="right"/>
              <w:rPr>
                <w:rFonts w:ascii="Times New Roman" w:hAnsi="Times New Roman" w:cs="Times New Roman"/>
                <w:b/>
                <w:sz w:val="24"/>
                <w:szCs w:val="24"/>
              </w:rPr>
            </w:pPr>
          </w:p>
          <w:p w:rsidR="000474E4" w:rsidRPr="00866860" w:rsidRDefault="000474E4" w:rsidP="001D333B">
            <w:pPr>
              <w:spacing w:line="240" w:lineRule="auto"/>
              <w:jc w:val="right"/>
              <w:rPr>
                <w:rFonts w:ascii="Times New Roman" w:hAnsi="Times New Roman" w:cs="Times New Roman"/>
                <w:sz w:val="24"/>
                <w:szCs w:val="24"/>
              </w:rPr>
            </w:pPr>
          </w:p>
          <w:p w:rsidR="000474E4" w:rsidRPr="00866860" w:rsidRDefault="000474E4" w:rsidP="001D333B">
            <w:pPr>
              <w:spacing w:line="240" w:lineRule="auto"/>
              <w:jc w:val="right"/>
              <w:rPr>
                <w:rFonts w:ascii="Times New Roman" w:hAnsi="Times New Roman" w:cs="Times New Roman"/>
                <w:sz w:val="24"/>
                <w:szCs w:val="24"/>
              </w:rPr>
            </w:pPr>
          </w:p>
          <w:p w:rsidR="000474E4" w:rsidRPr="00866860" w:rsidRDefault="000474E4" w:rsidP="001D333B">
            <w:pPr>
              <w:spacing w:line="240" w:lineRule="auto"/>
              <w:jc w:val="right"/>
              <w:rPr>
                <w:rFonts w:ascii="Times New Roman" w:hAnsi="Times New Roman" w:cs="Times New Roman"/>
                <w:sz w:val="24"/>
                <w:szCs w:val="24"/>
              </w:rPr>
            </w:pPr>
          </w:p>
          <w:p w:rsidR="000474E4" w:rsidRPr="00866860" w:rsidRDefault="000474E4" w:rsidP="001D333B">
            <w:pPr>
              <w:spacing w:line="240" w:lineRule="auto"/>
              <w:jc w:val="right"/>
              <w:rPr>
                <w:rFonts w:ascii="Times New Roman" w:hAnsi="Times New Roman" w:cs="Times New Roman"/>
                <w:sz w:val="24"/>
                <w:szCs w:val="24"/>
                <w:lang w:val="de-DE"/>
              </w:rPr>
            </w:pPr>
          </w:p>
        </w:tc>
      </w:tr>
    </w:tbl>
    <w:p w:rsidR="000474E4" w:rsidRDefault="000474E4" w:rsidP="00523214">
      <w:pPr>
        <w:spacing w:after="120" w:line="240" w:lineRule="auto"/>
        <w:jc w:val="left"/>
        <w:rPr>
          <w:rFonts w:ascii="Times New Roman" w:hAnsi="Times New Roman" w:cs="Times New Roman"/>
          <w:b/>
          <w:sz w:val="24"/>
          <w:szCs w:val="24"/>
        </w:rPr>
      </w:pPr>
    </w:p>
    <w:p w:rsidR="00F72CAA" w:rsidRPr="00BF1B7E" w:rsidRDefault="0061660D" w:rsidP="00EF105B">
      <w:pPr>
        <w:spacing w:after="120" w:line="240" w:lineRule="auto"/>
        <w:ind w:left="0"/>
        <w:jc w:val="center"/>
        <w:rPr>
          <w:rFonts w:ascii="Times New Roman" w:hAnsi="Times New Roman" w:cs="Times New Roman"/>
          <w:b/>
          <w:sz w:val="44"/>
          <w:szCs w:val="44"/>
        </w:rPr>
      </w:pPr>
      <w:r w:rsidRPr="0061660D">
        <w:rPr>
          <w:rFonts w:ascii="Times New Roman" w:hAnsi="Times New Roman"/>
          <w:b/>
          <w:sz w:val="44"/>
          <w:szCs w:val="44"/>
        </w:rPr>
        <w:t xml:space="preserve">Stany Zjednoczone versus Chiny: rywalizacja </w:t>
      </w:r>
      <w:r>
        <w:rPr>
          <w:rFonts w:ascii="Times New Roman" w:hAnsi="Times New Roman"/>
          <w:b/>
          <w:sz w:val="44"/>
          <w:szCs w:val="44"/>
        </w:rPr>
        <w:br/>
      </w:r>
      <w:r w:rsidRPr="0061660D">
        <w:rPr>
          <w:rFonts w:ascii="Times New Roman" w:hAnsi="Times New Roman"/>
          <w:b/>
          <w:sz w:val="44"/>
          <w:szCs w:val="44"/>
        </w:rPr>
        <w:t>o prymat w globalnej działalności badawczo-rozwojowej</w:t>
      </w:r>
      <w:r w:rsidR="00F72CAA" w:rsidRPr="00DD64CA">
        <w:rPr>
          <w:rStyle w:val="Odwoanieprzypisudolnego"/>
          <w:rFonts w:ascii="Times New Roman" w:hAnsi="Times New Roman" w:cs="Times New Roman"/>
          <w:b/>
          <w:sz w:val="44"/>
          <w:szCs w:val="44"/>
        </w:rPr>
        <w:footnoteReference w:id="1"/>
      </w:r>
    </w:p>
    <w:p w:rsidR="0034670A" w:rsidRDefault="0034670A" w:rsidP="00523214">
      <w:pPr>
        <w:spacing w:after="120" w:line="240" w:lineRule="auto"/>
        <w:jc w:val="left"/>
        <w:rPr>
          <w:rFonts w:ascii="Times New Roman" w:hAnsi="Times New Roman" w:cs="Times New Roman"/>
          <w:b/>
          <w:sz w:val="24"/>
          <w:szCs w:val="24"/>
        </w:rPr>
      </w:pPr>
    </w:p>
    <w:p w:rsidR="00523214" w:rsidRDefault="00523214" w:rsidP="00523214">
      <w:pPr>
        <w:spacing w:after="120" w:line="240" w:lineRule="auto"/>
        <w:jc w:val="left"/>
        <w:rPr>
          <w:rFonts w:ascii="Times New Roman" w:hAnsi="Times New Roman" w:cs="Times New Roman"/>
          <w:b/>
          <w:sz w:val="24"/>
          <w:szCs w:val="24"/>
        </w:rPr>
      </w:pPr>
      <w:r>
        <w:rPr>
          <w:rFonts w:ascii="Times New Roman" w:hAnsi="Times New Roman" w:cs="Times New Roman"/>
          <w:b/>
          <w:sz w:val="24"/>
          <w:szCs w:val="24"/>
        </w:rPr>
        <w:t>Streszczenie</w:t>
      </w:r>
      <w:r w:rsidR="000474E4">
        <w:rPr>
          <w:rFonts w:ascii="Times New Roman" w:hAnsi="Times New Roman" w:cs="Times New Roman"/>
          <w:b/>
          <w:sz w:val="24"/>
          <w:szCs w:val="24"/>
        </w:rPr>
        <w:t xml:space="preserve"> </w:t>
      </w:r>
    </w:p>
    <w:p w:rsidR="00523214" w:rsidRDefault="00523214" w:rsidP="00523214">
      <w:pPr>
        <w:tabs>
          <w:tab w:val="left" w:leader="dot" w:pos="10773"/>
        </w:tabs>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CEL NAUKOWY: </w:t>
      </w:r>
      <w:r w:rsidR="00F372EE" w:rsidRPr="00F372EE">
        <w:rPr>
          <w:rFonts w:ascii="Times New Roman" w:hAnsi="Times New Roman" w:cs="Times New Roman"/>
          <w:bCs/>
          <w:sz w:val="24"/>
          <w:szCs w:val="24"/>
        </w:rPr>
        <w:t xml:space="preserve">Celem artykułu jest </w:t>
      </w:r>
      <w:r w:rsidR="00425DB0">
        <w:rPr>
          <w:rFonts w:ascii="Times New Roman" w:hAnsi="Times New Roman" w:cs="Times New Roman"/>
          <w:bCs/>
          <w:sz w:val="24"/>
          <w:szCs w:val="24"/>
        </w:rPr>
        <w:t>ustalenie</w:t>
      </w:r>
      <w:r w:rsidR="001E70F7">
        <w:rPr>
          <w:rFonts w:ascii="Times New Roman" w:hAnsi="Times New Roman" w:cs="Times New Roman"/>
          <w:bCs/>
          <w:sz w:val="24"/>
          <w:szCs w:val="24"/>
        </w:rPr>
        <w:t>,</w:t>
      </w:r>
      <w:r w:rsidR="00425DB0">
        <w:rPr>
          <w:rFonts w:ascii="Times New Roman" w:hAnsi="Times New Roman" w:cs="Times New Roman"/>
          <w:bCs/>
          <w:sz w:val="24"/>
          <w:szCs w:val="24"/>
        </w:rPr>
        <w:t xml:space="preserve"> czy Chiny mają szansę</w:t>
      </w:r>
      <w:r w:rsidR="00DD64CA">
        <w:rPr>
          <w:rFonts w:ascii="Times New Roman" w:hAnsi="Times New Roman" w:cs="Times New Roman"/>
          <w:bCs/>
          <w:sz w:val="24"/>
          <w:szCs w:val="24"/>
        </w:rPr>
        <w:t xml:space="preserve"> przejąć od Stanów Zjednoczonych przywództwo w </w:t>
      </w:r>
      <w:r w:rsidR="00425DB0">
        <w:rPr>
          <w:rFonts w:ascii="Times New Roman" w:hAnsi="Times New Roman" w:cs="Times New Roman"/>
          <w:bCs/>
          <w:sz w:val="24"/>
          <w:szCs w:val="24"/>
        </w:rPr>
        <w:t>globalnej działalności badawczo-rozwojowej</w:t>
      </w:r>
      <w:r w:rsidR="00DD64CA">
        <w:rPr>
          <w:rFonts w:ascii="Times New Roman" w:hAnsi="Times New Roman" w:cs="Times New Roman"/>
          <w:bCs/>
          <w:sz w:val="24"/>
          <w:szCs w:val="24"/>
        </w:rPr>
        <w:t>.</w:t>
      </w:r>
    </w:p>
    <w:p w:rsidR="00523214" w:rsidRDefault="00F372EE" w:rsidP="00523214">
      <w:pPr>
        <w:tabs>
          <w:tab w:val="left" w:leader="dot" w:pos="10773"/>
        </w:tabs>
        <w:spacing w:after="120" w:line="240" w:lineRule="auto"/>
        <w:rPr>
          <w:rFonts w:ascii="Times New Roman" w:hAnsi="Times New Roman" w:cs="Times New Roman"/>
          <w:bCs/>
          <w:sz w:val="24"/>
          <w:szCs w:val="24"/>
        </w:rPr>
      </w:pPr>
      <w:r>
        <w:rPr>
          <w:rFonts w:ascii="Times New Roman" w:hAnsi="Times New Roman" w:cs="Times New Roman"/>
          <w:bCs/>
          <w:sz w:val="24"/>
          <w:szCs w:val="24"/>
        </w:rPr>
        <w:t>PROBLEM I METODY BADAWCZE: P</w:t>
      </w:r>
      <w:r w:rsidR="00523214">
        <w:rPr>
          <w:rFonts w:ascii="Times New Roman" w:hAnsi="Times New Roman" w:cs="Times New Roman"/>
          <w:bCs/>
          <w:sz w:val="24"/>
          <w:szCs w:val="24"/>
        </w:rPr>
        <w:t xml:space="preserve">odstawowym problemem publikacji jest </w:t>
      </w:r>
      <w:r w:rsidR="00DD64CA">
        <w:rPr>
          <w:rFonts w:ascii="Times New Roman" w:hAnsi="Times New Roman" w:cs="Times New Roman"/>
          <w:bCs/>
          <w:sz w:val="24"/>
          <w:szCs w:val="24"/>
        </w:rPr>
        <w:t>a</w:t>
      </w:r>
      <w:r>
        <w:rPr>
          <w:rFonts w:ascii="Times New Roman" w:hAnsi="Times New Roman" w:cs="Times New Roman"/>
          <w:bCs/>
          <w:sz w:val="24"/>
          <w:szCs w:val="24"/>
        </w:rPr>
        <w:t xml:space="preserve">naliza </w:t>
      </w:r>
      <w:r w:rsidR="00DD64CA">
        <w:rPr>
          <w:rFonts w:ascii="Times New Roman" w:hAnsi="Times New Roman" w:cs="Times New Roman"/>
          <w:bCs/>
          <w:sz w:val="24"/>
          <w:szCs w:val="24"/>
        </w:rPr>
        <w:t>porównawcza potencjału badawczo-rozwojowego USA i Chin. W artykule wykorzystano dwa</w:t>
      </w:r>
      <w:r w:rsidRPr="00F372EE">
        <w:rPr>
          <w:rFonts w:ascii="Times New Roman" w:hAnsi="Times New Roman" w:cs="Times New Roman"/>
          <w:bCs/>
          <w:sz w:val="24"/>
          <w:szCs w:val="24"/>
        </w:rPr>
        <w:t xml:space="preserve"> główne narzędzia badawcze, jakimi są</w:t>
      </w:r>
      <w:r w:rsidR="00DD64CA">
        <w:rPr>
          <w:rFonts w:ascii="Times New Roman" w:hAnsi="Times New Roman" w:cs="Times New Roman"/>
          <w:bCs/>
          <w:sz w:val="24"/>
          <w:szCs w:val="24"/>
        </w:rPr>
        <w:t xml:space="preserve"> tradycyjne studia literaturowe o</w:t>
      </w:r>
      <w:r w:rsidRPr="00F372EE">
        <w:rPr>
          <w:rFonts w:ascii="Times New Roman" w:hAnsi="Times New Roman" w:cs="Times New Roman"/>
          <w:bCs/>
          <w:sz w:val="24"/>
          <w:szCs w:val="24"/>
        </w:rPr>
        <w:t xml:space="preserve">raz </w:t>
      </w:r>
      <w:r w:rsidR="00BA3EDE">
        <w:rPr>
          <w:rFonts w:ascii="Times New Roman" w:hAnsi="Times New Roman" w:cs="Times New Roman"/>
          <w:bCs/>
          <w:sz w:val="24"/>
          <w:szCs w:val="24"/>
        </w:rPr>
        <w:t xml:space="preserve">dynamiczna analiza </w:t>
      </w:r>
      <w:r w:rsidR="00DD64CA">
        <w:rPr>
          <w:rFonts w:ascii="Times New Roman" w:hAnsi="Times New Roman" w:cs="Times New Roman"/>
          <w:bCs/>
          <w:sz w:val="24"/>
          <w:szCs w:val="24"/>
        </w:rPr>
        <w:t>porównawcza</w:t>
      </w:r>
      <w:r w:rsidRPr="00F372EE">
        <w:rPr>
          <w:rFonts w:ascii="Times New Roman" w:hAnsi="Times New Roman" w:cs="Times New Roman"/>
          <w:bCs/>
          <w:sz w:val="24"/>
          <w:szCs w:val="24"/>
        </w:rPr>
        <w:t>.</w:t>
      </w:r>
    </w:p>
    <w:p w:rsidR="00BA3EDE" w:rsidRPr="004C0644" w:rsidRDefault="00523214" w:rsidP="00523214">
      <w:pPr>
        <w:tabs>
          <w:tab w:val="left" w:leader="dot" w:pos="10773"/>
        </w:tabs>
        <w:spacing w:after="120" w:line="240" w:lineRule="auto"/>
        <w:rPr>
          <w:rFonts w:ascii="Times New Roman" w:hAnsi="Times New Roman" w:cs="Times New Roman"/>
          <w:bCs/>
          <w:sz w:val="24"/>
          <w:szCs w:val="24"/>
        </w:rPr>
      </w:pPr>
      <w:r>
        <w:rPr>
          <w:rFonts w:ascii="Times New Roman" w:hAnsi="Times New Roman" w:cs="Times New Roman"/>
          <w:bCs/>
          <w:sz w:val="24"/>
          <w:szCs w:val="24"/>
        </w:rPr>
        <w:t>PROCES WYWODU</w:t>
      </w:r>
      <w:r w:rsidRPr="00BA3EDE">
        <w:rPr>
          <w:rFonts w:ascii="Times New Roman" w:hAnsi="Times New Roman" w:cs="Times New Roman"/>
          <w:bCs/>
          <w:sz w:val="24"/>
          <w:szCs w:val="24"/>
        </w:rPr>
        <w:t xml:space="preserve">: </w:t>
      </w:r>
      <w:r w:rsidR="00F372EE" w:rsidRPr="00BA3EDE">
        <w:rPr>
          <w:rFonts w:ascii="Times New Roman" w:hAnsi="Times New Roman" w:cs="Times New Roman"/>
          <w:bCs/>
          <w:sz w:val="24"/>
          <w:szCs w:val="24"/>
        </w:rPr>
        <w:t>Wywód składa się</w:t>
      </w:r>
      <w:r w:rsidR="00BA3EDE" w:rsidRPr="00BA3EDE">
        <w:rPr>
          <w:rFonts w:ascii="Times New Roman" w:hAnsi="Times New Roman" w:cs="Times New Roman"/>
          <w:bCs/>
          <w:sz w:val="24"/>
          <w:szCs w:val="24"/>
        </w:rPr>
        <w:t xml:space="preserve"> z trzech zasadniczych części. Pierwsza dotyczy nakreślenia</w:t>
      </w:r>
      <w:r w:rsidR="00F372EE" w:rsidRPr="00BA3EDE">
        <w:rPr>
          <w:rFonts w:ascii="Times New Roman" w:hAnsi="Times New Roman" w:cs="Times New Roman"/>
          <w:bCs/>
          <w:sz w:val="24"/>
          <w:szCs w:val="24"/>
        </w:rPr>
        <w:t xml:space="preserve"> </w:t>
      </w:r>
      <w:r w:rsidR="00BA3EDE" w:rsidRPr="00BA3EDE">
        <w:rPr>
          <w:rFonts w:ascii="Times New Roman" w:hAnsi="Times New Roman" w:cs="Times New Roman"/>
          <w:bCs/>
          <w:sz w:val="24"/>
          <w:szCs w:val="24"/>
        </w:rPr>
        <w:t xml:space="preserve">trendów w globalnej działalności badawczo-rozwojowej. Główna część artykułu bazuje na analizie porównawczej wskaźników B+R dla USA i Chin, którą uzupełniono syntetyczną identyfikacją przewag w B+R badanych </w:t>
      </w:r>
      <w:r w:rsidR="00BA3EDE" w:rsidRPr="004C0644">
        <w:rPr>
          <w:rFonts w:ascii="Times New Roman" w:hAnsi="Times New Roman" w:cs="Times New Roman"/>
          <w:bCs/>
          <w:sz w:val="24"/>
          <w:szCs w:val="24"/>
        </w:rPr>
        <w:t>gospodarek.</w:t>
      </w:r>
    </w:p>
    <w:p w:rsidR="00451FCA" w:rsidRPr="00CD5405" w:rsidRDefault="00523214" w:rsidP="00523214">
      <w:pPr>
        <w:tabs>
          <w:tab w:val="left" w:leader="dot" w:pos="10773"/>
        </w:tabs>
        <w:spacing w:after="120" w:line="240" w:lineRule="auto"/>
        <w:rPr>
          <w:rFonts w:ascii="Times New Roman" w:hAnsi="Times New Roman" w:cs="Times New Roman"/>
          <w:bCs/>
          <w:sz w:val="24"/>
          <w:szCs w:val="24"/>
        </w:rPr>
      </w:pPr>
      <w:r w:rsidRPr="004C0644">
        <w:rPr>
          <w:rFonts w:ascii="Times New Roman" w:hAnsi="Times New Roman" w:cs="Times New Roman"/>
          <w:bCs/>
          <w:sz w:val="24"/>
          <w:szCs w:val="24"/>
        </w:rPr>
        <w:t xml:space="preserve">WYNIKI ANALIZY NAUKOWEJ: </w:t>
      </w:r>
      <w:r w:rsidR="00451FCA" w:rsidRPr="004C0644">
        <w:rPr>
          <w:rFonts w:ascii="Times New Roman" w:hAnsi="Times New Roman" w:cs="Times New Roman"/>
          <w:bCs/>
          <w:sz w:val="24"/>
          <w:szCs w:val="24"/>
        </w:rPr>
        <w:t>Współczesna działalność badawczo-rozwojowa zdominowana jest przez USA i Chiny. Dystans dzielący oba kraje cały czas się zmniejsza z uwagi na dynamiczny rozwój działalności B+R w Chinach</w:t>
      </w:r>
      <w:r w:rsidR="001E70F7">
        <w:rPr>
          <w:rFonts w:ascii="Times New Roman" w:hAnsi="Times New Roman" w:cs="Times New Roman"/>
          <w:bCs/>
          <w:sz w:val="24"/>
          <w:szCs w:val="24"/>
        </w:rPr>
        <w:t>,</w:t>
      </w:r>
      <w:r w:rsidR="00451FCA" w:rsidRPr="004C0644">
        <w:rPr>
          <w:rFonts w:ascii="Times New Roman" w:hAnsi="Times New Roman" w:cs="Times New Roman"/>
          <w:bCs/>
          <w:sz w:val="24"/>
          <w:szCs w:val="24"/>
        </w:rPr>
        <w:t xml:space="preserve"> przy objawach stagnacji w tej materii w USA. </w:t>
      </w:r>
      <w:r w:rsidR="004C0644" w:rsidRPr="004C0644">
        <w:rPr>
          <w:rFonts w:ascii="Times New Roman" w:hAnsi="Times New Roman" w:cs="Times New Roman"/>
          <w:bCs/>
          <w:sz w:val="24"/>
          <w:szCs w:val="24"/>
        </w:rPr>
        <w:t xml:space="preserve">O ile niezagrożona jest pozycja USA w tworzeniu wiedzy, o tyle w kwestii jej komercjalizacji zidentyfikować można przewagę Chin. Ponadto na korzyść Chin wskazuje </w:t>
      </w:r>
      <w:r w:rsidR="004C0644" w:rsidRPr="00CD5405">
        <w:rPr>
          <w:rFonts w:ascii="Times New Roman" w:hAnsi="Times New Roman" w:cs="Times New Roman"/>
          <w:bCs/>
          <w:sz w:val="24"/>
          <w:szCs w:val="24"/>
        </w:rPr>
        <w:t>także silniejsze osadzenie B+R w sektorze przedsiębiorstw.</w:t>
      </w:r>
    </w:p>
    <w:p w:rsidR="00523214" w:rsidRPr="00CD5405" w:rsidRDefault="00523214" w:rsidP="00523214">
      <w:pPr>
        <w:tabs>
          <w:tab w:val="left" w:leader="dot" w:pos="10773"/>
        </w:tabs>
        <w:spacing w:after="120" w:line="240" w:lineRule="auto"/>
        <w:rPr>
          <w:rFonts w:ascii="Times New Roman" w:hAnsi="Times New Roman" w:cs="Times New Roman"/>
          <w:sz w:val="24"/>
          <w:szCs w:val="24"/>
        </w:rPr>
      </w:pPr>
      <w:r w:rsidRPr="00CD5405">
        <w:rPr>
          <w:rFonts w:ascii="Times New Roman" w:hAnsi="Times New Roman" w:cs="Times New Roman"/>
          <w:sz w:val="24"/>
          <w:szCs w:val="24"/>
        </w:rPr>
        <w:t xml:space="preserve">WNIOSKI, INNOWACJE, REKOMENDACJE: </w:t>
      </w:r>
      <w:r w:rsidR="00CD5405" w:rsidRPr="00CD5405">
        <w:rPr>
          <w:rFonts w:ascii="Times New Roman" w:hAnsi="Times New Roman" w:cs="Times New Roman"/>
          <w:sz w:val="24"/>
          <w:szCs w:val="24"/>
        </w:rPr>
        <w:t xml:space="preserve">Kształtujący się nowy układ w globalnej działalności B+R może doprowadzić do mobilizacji dotychczasowego lidera, co spowoduje przyspieszenie </w:t>
      </w:r>
      <w:r w:rsidR="000E7922">
        <w:rPr>
          <w:rFonts w:ascii="Times New Roman" w:hAnsi="Times New Roman" w:cs="Times New Roman"/>
          <w:sz w:val="24"/>
          <w:szCs w:val="24"/>
        </w:rPr>
        <w:t xml:space="preserve">globalnego </w:t>
      </w:r>
      <w:r w:rsidR="00CD5405" w:rsidRPr="00CD5405">
        <w:rPr>
          <w:rFonts w:ascii="Times New Roman" w:hAnsi="Times New Roman" w:cs="Times New Roman"/>
          <w:sz w:val="24"/>
          <w:szCs w:val="24"/>
        </w:rPr>
        <w:t>postępu technologicznego.</w:t>
      </w:r>
    </w:p>
    <w:p w:rsidR="00523214" w:rsidRDefault="00523214" w:rsidP="00523214">
      <w:pPr>
        <w:tabs>
          <w:tab w:val="left" w:leader="dot" w:pos="10773"/>
        </w:tabs>
        <w:spacing w:after="120" w:line="240" w:lineRule="auto"/>
        <w:rPr>
          <w:rFonts w:ascii="Times New Roman" w:hAnsi="Times New Roman" w:cs="Times New Roman"/>
          <w:bCs/>
          <w:sz w:val="24"/>
          <w:szCs w:val="24"/>
        </w:rPr>
      </w:pPr>
    </w:p>
    <w:p w:rsidR="00523214" w:rsidRDefault="00523214" w:rsidP="00523214">
      <w:pPr>
        <w:tabs>
          <w:tab w:val="left" w:leader="dot" w:pos="10773"/>
        </w:tabs>
        <w:spacing w:after="120" w:line="240" w:lineRule="auto"/>
        <w:rPr>
          <w:rFonts w:ascii="Times New Roman" w:hAnsi="Times New Roman" w:cs="Times New Roman"/>
          <w:sz w:val="24"/>
          <w:szCs w:val="24"/>
        </w:rPr>
      </w:pPr>
      <w:r>
        <w:rPr>
          <w:rFonts w:ascii="Times New Roman" w:hAnsi="Times New Roman" w:cs="Times New Roman"/>
          <w:b/>
          <w:sz w:val="24"/>
          <w:szCs w:val="24"/>
        </w:rPr>
        <w:t>Słowa kluczowe:</w:t>
      </w:r>
      <w:r>
        <w:rPr>
          <w:rFonts w:ascii="Times New Roman" w:hAnsi="Times New Roman" w:cs="Times New Roman"/>
          <w:sz w:val="24"/>
          <w:szCs w:val="24"/>
        </w:rPr>
        <w:t xml:space="preserve"> </w:t>
      </w:r>
      <w:r w:rsidR="00DD64CA">
        <w:rPr>
          <w:rFonts w:ascii="Times New Roman" w:hAnsi="Times New Roman" w:cs="Times New Roman"/>
          <w:sz w:val="24"/>
          <w:szCs w:val="24"/>
        </w:rPr>
        <w:t xml:space="preserve">B+R, </w:t>
      </w:r>
      <w:r w:rsidR="00BA3EDE">
        <w:rPr>
          <w:rFonts w:ascii="Times New Roman" w:hAnsi="Times New Roman" w:cs="Times New Roman"/>
          <w:sz w:val="24"/>
          <w:szCs w:val="24"/>
        </w:rPr>
        <w:t xml:space="preserve">struktura </w:t>
      </w:r>
      <w:r w:rsidR="009B6E90">
        <w:rPr>
          <w:rFonts w:ascii="Times New Roman" w:hAnsi="Times New Roman" w:cs="Times New Roman"/>
          <w:sz w:val="24"/>
          <w:szCs w:val="24"/>
        </w:rPr>
        <w:t>B+R, USA, Chiny, lider B+R, nakłady badawczo-rozwojowe</w:t>
      </w:r>
      <w:r w:rsidR="002A4167">
        <w:rPr>
          <w:rFonts w:ascii="Times New Roman" w:hAnsi="Times New Roman" w:cs="Times New Roman"/>
          <w:sz w:val="24"/>
          <w:szCs w:val="24"/>
        </w:rPr>
        <w:t>, patenty.</w:t>
      </w:r>
    </w:p>
    <w:p w:rsidR="0092006C" w:rsidRPr="00A160A1" w:rsidRDefault="009B6E90" w:rsidP="0092006C">
      <w:pPr>
        <w:spacing w:after="120" w:line="240" w:lineRule="auto"/>
        <w:ind w:left="0"/>
        <w:jc w:val="center"/>
        <w:rPr>
          <w:rFonts w:ascii="Times New Roman" w:hAnsi="Times New Roman" w:cs="Times New Roman"/>
          <w:sz w:val="44"/>
          <w:szCs w:val="44"/>
          <w:lang w:val="en-GB"/>
        </w:rPr>
      </w:pPr>
      <w:r>
        <w:rPr>
          <w:rFonts w:ascii="Times New Roman" w:hAnsi="Times New Roman" w:cs="Times New Roman"/>
          <w:sz w:val="44"/>
          <w:szCs w:val="44"/>
          <w:lang w:val="en-GB"/>
        </w:rPr>
        <w:lastRenderedPageBreak/>
        <w:t>United States versus China: competition for primacy in global R&amp;D activities</w:t>
      </w:r>
    </w:p>
    <w:p w:rsidR="0092006C" w:rsidRDefault="0092006C" w:rsidP="0092006C">
      <w:pPr>
        <w:spacing w:after="120" w:line="240" w:lineRule="auto"/>
        <w:jc w:val="left"/>
        <w:rPr>
          <w:rFonts w:ascii="Times New Roman" w:hAnsi="Times New Roman" w:cs="Times New Roman"/>
          <w:b/>
          <w:sz w:val="24"/>
          <w:szCs w:val="24"/>
        </w:rPr>
      </w:pPr>
    </w:p>
    <w:p w:rsidR="0092006C" w:rsidRPr="00A160A1" w:rsidRDefault="00A160A1" w:rsidP="0092006C">
      <w:pPr>
        <w:spacing w:after="120" w:line="240" w:lineRule="auto"/>
        <w:jc w:val="left"/>
        <w:rPr>
          <w:rFonts w:ascii="Times New Roman" w:hAnsi="Times New Roman" w:cs="Times New Roman"/>
          <w:b/>
          <w:sz w:val="24"/>
          <w:szCs w:val="24"/>
          <w:lang w:val="en-GB"/>
        </w:rPr>
      </w:pPr>
      <w:r w:rsidRPr="00A160A1">
        <w:rPr>
          <w:rFonts w:ascii="Times New Roman" w:hAnsi="Times New Roman" w:cs="Times New Roman"/>
          <w:b/>
          <w:sz w:val="24"/>
          <w:szCs w:val="24"/>
          <w:lang w:val="en-GB"/>
        </w:rPr>
        <w:t>Summary</w:t>
      </w:r>
    </w:p>
    <w:p w:rsidR="00070BE0" w:rsidRPr="00070BE0" w:rsidRDefault="00A160A1" w:rsidP="0092006C">
      <w:pPr>
        <w:tabs>
          <w:tab w:val="left" w:leader="dot" w:pos="10773"/>
        </w:tabs>
        <w:spacing w:after="120" w:line="240" w:lineRule="auto"/>
        <w:rPr>
          <w:rFonts w:ascii="Times New Roman" w:hAnsi="Times New Roman" w:cs="Times New Roman"/>
          <w:bCs/>
          <w:sz w:val="24"/>
          <w:szCs w:val="24"/>
          <w:lang w:val="en-GB"/>
        </w:rPr>
      </w:pPr>
      <w:r w:rsidRPr="00070BE0">
        <w:rPr>
          <w:rFonts w:ascii="Times New Roman" w:hAnsi="Times New Roman" w:cs="Times New Roman"/>
          <w:bCs/>
          <w:sz w:val="24"/>
          <w:szCs w:val="24"/>
          <w:lang w:val="en-GB"/>
        </w:rPr>
        <w:t>RESEARCH OBJECTIVE</w:t>
      </w:r>
      <w:r w:rsidR="0092006C" w:rsidRPr="00070BE0">
        <w:rPr>
          <w:rFonts w:ascii="Times New Roman" w:hAnsi="Times New Roman" w:cs="Times New Roman"/>
          <w:bCs/>
          <w:sz w:val="24"/>
          <w:szCs w:val="24"/>
          <w:lang w:val="en-GB"/>
        </w:rPr>
        <w:t xml:space="preserve">: </w:t>
      </w:r>
      <w:r w:rsidRPr="00070BE0">
        <w:rPr>
          <w:rFonts w:ascii="Times New Roman" w:hAnsi="Times New Roman" w:cs="Times New Roman"/>
          <w:bCs/>
          <w:sz w:val="24"/>
          <w:szCs w:val="24"/>
          <w:lang w:val="en-GB"/>
        </w:rPr>
        <w:t xml:space="preserve">This article aims at </w:t>
      </w:r>
      <w:r w:rsidR="00070BE0" w:rsidRPr="00070BE0">
        <w:rPr>
          <w:rFonts w:ascii="Times New Roman" w:hAnsi="Times New Roman" w:cs="Times New Roman"/>
          <w:bCs/>
          <w:sz w:val="24"/>
          <w:szCs w:val="24"/>
          <w:lang w:val="en-GB"/>
        </w:rPr>
        <w:t xml:space="preserve">determining whether </w:t>
      </w:r>
      <w:r w:rsidR="00070BE0" w:rsidRPr="00070BE0">
        <w:rPr>
          <w:rFonts w:ascii="Times New Roman" w:hAnsi="Times New Roman" w:cs="Times New Roman"/>
          <w:lang w:val="en"/>
        </w:rPr>
        <w:t>China has the opportunity to take over from the US leadership in the global R&amp;D activities.</w:t>
      </w:r>
    </w:p>
    <w:p w:rsidR="00070BE0" w:rsidRPr="00070BE0" w:rsidRDefault="00A160A1" w:rsidP="0092006C">
      <w:pPr>
        <w:tabs>
          <w:tab w:val="left" w:leader="dot" w:pos="10773"/>
        </w:tabs>
        <w:spacing w:after="120" w:line="240" w:lineRule="auto"/>
        <w:rPr>
          <w:rFonts w:ascii="Times New Roman" w:hAnsi="Times New Roman" w:cs="Times New Roman"/>
          <w:bCs/>
          <w:sz w:val="24"/>
          <w:szCs w:val="24"/>
          <w:lang w:val="en-GB"/>
        </w:rPr>
      </w:pPr>
      <w:r w:rsidRPr="00070BE0">
        <w:rPr>
          <w:rFonts w:ascii="Times New Roman" w:hAnsi="Times New Roman" w:cs="Times New Roman"/>
          <w:bCs/>
          <w:sz w:val="24"/>
          <w:szCs w:val="24"/>
          <w:lang w:val="en-GB"/>
        </w:rPr>
        <w:t>THE RESEARCH PROBLEM AND METHODS</w:t>
      </w:r>
      <w:r w:rsidR="0092006C" w:rsidRPr="00070BE0">
        <w:rPr>
          <w:rFonts w:ascii="Times New Roman" w:hAnsi="Times New Roman" w:cs="Times New Roman"/>
          <w:bCs/>
          <w:sz w:val="24"/>
          <w:szCs w:val="24"/>
          <w:lang w:val="en-GB"/>
        </w:rPr>
        <w:t>:</w:t>
      </w:r>
      <w:r w:rsidRPr="00070BE0">
        <w:rPr>
          <w:lang w:val="en-GB"/>
        </w:rPr>
        <w:t xml:space="preserve"> </w:t>
      </w:r>
      <w:r w:rsidRPr="00070BE0">
        <w:rPr>
          <w:rFonts w:ascii="Times New Roman" w:hAnsi="Times New Roman" w:cs="Times New Roman"/>
          <w:bCs/>
          <w:sz w:val="24"/>
          <w:szCs w:val="24"/>
          <w:lang w:val="en-GB"/>
        </w:rPr>
        <w:t xml:space="preserve">The basic problem of this publication is </w:t>
      </w:r>
      <w:r w:rsidR="00070BE0" w:rsidRPr="00070BE0">
        <w:rPr>
          <w:rFonts w:ascii="Times New Roman" w:hAnsi="Times New Roman" w:cs="Times New Roman"/>
          <w:bCs/>
          <w:sz w:val="24"/>
          <w:szCs w:val="24"/>
          <w:lang w:val="en-GB"/>
        </w:rPr>
        <w:t>the comparative</w:t>
      </w:r>
      <w:r w:rsidRPr="00070BE0">
        <w:rPr>
          <w:rFonts w:ascii="Times New Roman" w:hAnsi="Times New Roman" w:cs="Times New Roman"/>
          <w:bCs/>
          <w:sz w:val="24"/>
          <w:szCs w:val="24"/>
          <w:lang w:val="en-GB"/>
        </w:rPr>
        <w:t xml:space="preserve"> analysis of </w:t>
      </w:r>
      <w:r w:rsidR="00070BE0" w:rsidRPr="00070BE0">
        <w:rPr>
          <w:rFonts w:ascii="Times New Roman" w:hAnsi="Times New Roman" w:cs="Times New Roman"/>
          <w:bCs/>
          <w:sz w:val="24"/>
          <w:szCs w:val="24"/>
          <w:lang w:val="en-GB"/>
        </w:rPr>
        <w:t>research and development potential of the US and China. The article uses two main research tools, which are traditional literature studies and dynamic comparative analysis.</w:t>
      </w:r>
    </w:p>
    <w:p w:rsidR="00070BE0" w:rsidRPr="00070BE0" w:rsidRDefault="00A160A1" w:rsidP="0092006C">
      <w:pPr>
        <w:tabs>
          <w:tab w:val="left" w:leader="dot" w:pos="10773"/>
        </w:tabs>
        <w:spacing w:after="120" w:line="240" w:lineRule="auto"/>
        <w:rPr>
          <w:rFonts w:ascii="Times New Roman" w:hAnsi="Times New Roman" w:cs="Times New Roman"/>
          <w:bCs/>
          <w:sz w:val="24"/>
          <w:szCs w:val="24"/>
          <w:lang w:val="en-GB"/>
        </w:rPr>
      </w:pPr>
      <w:r w:rsidRPr="00070BE0">
        <w:rPr>
          <w:rFonts w:ascii="Times New Roman" w:hAnsi="Times New Roman" w:cs="Times New Roman"/>
          <w:bCs/>
          <w:sz w:val="24"/>
          <w:szCs w:val="24"/>
          <w:lang w:val="en-GB"/>
        </w:rPr>
        <w:t>THE PROCESS OF ARGUMENTATION</w:t>
      </w:r>
      <w:r w:rsidR="0092006C" w:rsidRPr="00070BE0">
        <w:rPr>
          <w:rFonts w:ascii="Times New Roman" w:hAnsi="Times New Roman" w:cs="Times New Roman"/>
          <w:bCs/>
          <w:sz w:val="24"/>
          <w:szCs w:val="24"/>
          <w:lang w:val="en-GB"/>
        </w:rPr>
        <w:t xml:space="preserve">: </w:t>
      </w:r>
      <w:r w:rsidRPr="00070BE0">
        <w:rPr>
          <w:rFonts w:ascii="Times New Roman" w:hAnsi="Times New Roman" w:cs="Times New Roman"/>
          <w:bCs/>
          <w:sz w:val="24"/>
          <w:szCs w:val="24"/>
          <w:lang w:val="en-GB"/>
        </w:rPr>
        <w:t xml:space="preserve">The line of reasoning consists of three essential elements. </w:t>
      </w:r>
      <w:r w:rsidR="00070BE0" w:rsidRPr="00070BE0">
        <w:rPr>
          <w:rFonts w:ascii="Times New Roman" w:hAnsi="Times New Roman" w:cs="Times New Roman"/>
          <w:bCs/>
          <w:sz w:val="24"/>
          <w:szCs w:val="24"/>
          <w:lang w:val="en-GB"/>
        </w:rPr>
        <w:t>The first concerns the determination of trends in global research and development activities. The main part of the article is based on a comparative analysis of R&amp;D indicators for the US and China, which is supplemented by a synthetic identification advantages in R&amp;D of the analysed economies.</w:t>
      </w:r>
    </w:p>
    <w:p w:rsidR="007075D0" w:rsidRPr="007075D0" w:rsidRDefault="00A160A1" w:rsidP="007075D0">
      <w:pPr>
        <w:tabs>
          <w:tab w:val="left" w:leader="dot" w:pos="10773"/>
        </w:tabs>
        <w:spacing w:after="120" w:line="240" w:lineRule="auto"/>
        <w:rPr>
          <w:rFonts w:ascii="Times New Roman" w:hAnsi="Times New Roman" w:cs="Times New Roman"/>
          <w:bCs/>
          <w:sz w:val="24"/>
          <w:szCs w:val="24"/>
          <w:lang w:val="en-GB"/>
        </w:rPr>
      </w:pPr>
      <w:r w:rsidRPr="007075D0">
        <w:rPr>
          <w:rFonts w:ascii="Times New Roman" w:hAnsi="Times New Roman" w:cs="Times New Roman"/>
          <w:bCs/>
          <w:sz w:val="24"/>
          <w:szCs w:val="24"/>
          <w:lang w:val="en-GB"/>
        </w:rPr>
        <w:t>RESEARCH RESULTS</w:t>
      </w:r>
      <w:r w:rsidR="0092006C" w:rsidRPr="007075D0">
        <w:rPr>
          <w:rFonts w:ascii="Times New Roman" w:hAnsi="Times New Roman" w:cs="Times New Roman"/>
          <w:bCs/>
          <w:sz w:val="24"/>
          <w:szCs w:val="24"/>
          <w:lang w:val="en-GB"/>
        </w:rPr>
        <w:t xml:space="preserve">: </w:t>
      </w:r>
      <w:r w:rsidR="007075D0" w:rsidRPr="007075D0">
        <w:rPr>
          <w:rFonts w:ascii="Times New Roman" w:hAnsi="Times New Roman" w:cs="Times New Roman"/>
          <w:bCs/>
          <w:sz w:val="24"/>
          <w:szCs w:val="24"/>
          <w:lang w:val="en-GB"/>
        </w:rPr>
        <w:t xml:space="preserve">Contemporary </w:t>
      </w:r>
      <w:r w:rsidR="007075D0" w:rsidRPr="007075D0">
        <w:rPr>
          <w:rFonts w:ascii="Times New Roman" w:hAnsi="Times New Roman" w:cs="Times New Roman"/>
          <w:sz w:val="24"/>
          <w:szCs w:val="24"/>
          <w:lang w:val="en"/>
        </w:rPr>
        <w:t xml:space="preserve">research and development activity is dominated by the US and China. The distance between the two countries all the time is reduced due </w:t>
      </w:r>
      <w:r w:rsidR="00023707">
        <w:rPr>
          <w:rFonts w:ascii="Times New Roman" w:hAnsi="Times New Roman" w:cs="Times New Roman"/>
          <w:sz w:val="24"/>
          <w:szCs w:val="24"/>
          <w:lang w:val="en"/>
        </w:rPr>
        <w:t>to the dynamic development of R&amp;</w:t>
      </w:r>
      <w:r w:rsidR="007075D0" w:rsidRPr="007075D0">
        <w:rPr>
          <w:rFonts w:ascii="Times New Roman" w:hAnsi="Times New Roman" w:cs="Times New Roman"/>
          <w:sz w:val="24"/>
          <w:szCs w:val="24"/>
          <w:lang w:val="en"/>
        </w:rPr>
        <w:t>D activities in China and the symptoms of stagnation in this matter in the United States. While the position of the US is unthreatened in the creation of knowledge, so much the advantage of China in terms of commercialization can be identified. In addition a stronger involvement of the business sector in R&amp;D shows in favor of China.</w:t>
      </w:r>
    </w:p>
    <w:p w:rsidR="00CD5405" w:rsidRPr="00CD5405" w:rsidRDefault="00A160A1" w:rsidP="0092006C">
      <w:pPr>
        <w:tabs>
          <w:tab w:val="left" w:leader="dot" w:pos="10773"/>
        </w:tabs>
        <w:spacing w:after="120" w:line="240" w:lineRule="auto"/>
        <w:rPr>
          <w:rFonts w:ascii="Times New Roman" w:hAnsi="Times New Roman" w:cs="Times New Roman"/>
          <w:sz w:val="24"/>
          <w:szCs w:val="24"/>
          <w:lang w:val="en-GB"/>
        </w:rPr>
      </w:pPr>
      <w:r w:rsidRPr="00CD5405">
        <w:rPr>
          <w:rFonts w:ascii="Times New Roman" w:hAnsi="Times New Roman" w:cs="Times New Roman"/>
          <w:sz w:val="24"/>
          <w:szCs w:val="24"/>
          <w:lang w:val="en-GB"/>
        </w:rPr>
        <w:t>CONCLUSIONS, INNOVATIONS AND RECOMMENDATIONS</w:t>
      </w:r>
      <w:r w:rsidR="0092006C" w:rsidRPr="00CD5405">
        <w:rPr>
          <w:rFonts w:ascii="Times New Roman" w:hAnsi="Times New Roman" w:cs="Times New Roman"/>
          <w:sz w:val="24"/>
          <w:szCs w:val="24"/>
          <w:lang w:val="en-GB"/>
        </w:rPr>
        <w:t xml:space="preserve">: </w:t>
      </w:r>
      <w:r w:rsidR="00CD5405" w:rsidRPr="00CD5405">
        <w:rPr>
          <w:rFonts w:ascii="Times New Roman" w:hAnsi="Times New Roman" w:cs="Times New Roman"/>
          <w:sz w:val="24"/>
          <w:szCs w:val="24"/>
          <w:lang w:val="en-GB"/>
        </w:rPr>
        <w:t xml:space="preserve">Forming a new system of global R&amp;D may lead to the mobilization of the current leader, which will accelerate </w:t>
      </w:r>
      <w:r w:rsidR="000E7922">
        <w:rPr>
          <w:rFonts w:ascii="Times New Roman" w:hAnsi="Times New Roman" w:cs="Times New Roman"/>
          <w:sz w:val="24"/>
          <w:szCs w:val="24"/>
          <w:lang w:val="en-GB"/>
        </w:rPr>
        <w:t xml:space="preserve">global </w:t>
      </w:r>
      <w:r w:rsidR="00CD5405" w:rsidRPr="00CD5405">
        <w:rPr>
          <w:rFonts w:ascii="Times New Roman" w:hAnsi="Times New Roman" w:cs="Times New Roman"/>
          <w:sz w:val="24"/>
          <w:szCs w:val="24"/>
          <w:lang w:val="en-GB"/>
        </w:rPr>
        <w:t>technological progress.</w:t>
      </w:r>
    </w:p>
    <w:p w:rsidR="00CD73B1" w:rsidRDefault="00CD73B1" w:rsidP="00CD73B1">
      <w:pPr>
        <w:tabs>
          <w:tab w:val="left" w:leader="dot" w:pos="10773"/>
        </w:tabs>
        <w:spacing w:after="120" w:line="240" w:lineRule="auto"/>
        <w:ind w:left="0"/>
        <w:rPr>
          <w:rFonts w:ascii="Times New Roman" w:hAnsi="Times New Roman" w:cs="Times New Roman"/>
          <w:b/>
          <w:sz w:val="24"/>
          <w:szCs w:val="24"/>
        </w:rPr>
      </w:pPr>
    </w:p>
    <w:p w:rsidR="0092006C" w:rsidRPr="00CD73B1" w:rsidRDefault="00CD73B1" w:rsidP="00CD73B1">
      <w:pPr>
        <w:tabs>
          <w:tab w:val="left" w:leader="dot" w:pos="10773"/>
        </w:tabs>
        <w:spacing w:after="120" w:line="240" w:lineRule="auto"/>
        <w:ind w:left="0"/>
        <w:rPr>
          <w:rFonts w:ascii="Times New Roman" w:hAnsi="Times New Roman" w:cs="Times New Roman"/>
          <w:sz w:val="24"/>
          <w:szCs w:val="24"/>
          <w:lang w:val="en-GB"/>
        </w:rPr>
      </w:pPr>
      <w:r w:rsidRPr="00CD73B1">
        <w:rPr>
          <w:rFonts w:ascii="Times New Roman" w:hAnsi="Times New Roman" w:cs="Times New Roman"/>
          <w:b/>
          <w:sz w:val="24"/>
          <w:szCs w:val="24"/>
          <w:lang w:val="en-GB"/>
        </w:rPr>
        <w:t>Keywords:</w:t>
      </w:r>
      <w:r w:rsidRPr="00CD73B1">
        <w:rPr>
          <w:rFonts w:ascii="Times New Roman" w:hAnsi="Times New Roman" w:cs="Times New Roman"/>
          <w:sz w:val="24"/>
          <w:szCs w:val="24"/>
          <w:lang w:val="en-GB"/>
        </w:rPr>
        <w:t xml:space="preserve"> </w:t>
      </w:r>
      <w:r w:rsidR="009B6E90">
        <w:rPr>
          <w:rFonts w:ascii="Times New Roman" w:hAnsi="Times New Roman" w:cs="Times New Roman"/>
          <w:sz w:val="24"/>
          <w:szCs w:val="24"/>
          <w:lang w:val="en-GB"/>
        </w:rPr>
        <w:t xml:space="preserve">R&amp;D, structure of </w:t>
      </w:r>
      <w:r w:rsidR="004C0644">
        <w:rPr>
          <w:rFonts w:ascii="Times New Roman" w:hAnsi="Times New Roman" w:cs="Times New Roman"/>
          <w:sz w:val="24"/>
          <w:szCs w:val="24"/>
          <w:lang w:val="en-GB"/>
        </w:rPr>
        <w:t>R&amp;D</w:t>
      </w:r>
      <w:r w:rsidR="002A4167">
        <w:rPr>
          <w:rFonts w:ascii="Times New Roman" w:hAnsi="Times New Roman" w:cs="Times New Roman"/>
          <w:sz w:val="24"/>
          <w:szCs w:val="24"/>
          <w:lang w:val="en-GB"/>
        </w:rPr>
        <w:t>, US, China, R&amp;D leader, research and development expenditures, patents.</w:t>
      </w:r>
    </w:p>
    <w:p w:rsidR="000474E4" w:rsidRDefault="000474E4" w:rsidP="000474E4">
      <w:pPr>
        <w:tabs>
          <w:tab w:val="left" w:leader="dot" w:pos="10773"/>
        </w:tabs>
        <w:ind w:left="0"/>
        <w:rPr>
          <w:rFonts w:ascii="Times New Roman" w:hAnsi="Times New Roman" w:cs="Times New Roman"/>
          <w:b/>
          <w:sz w:val="24"/>
          <w:szCs w:val="24"/>
        </w:rPr>
      </w:pPr>
    </w:p>
    <w:p w:rsidR="00CD73B1" w:rsidRDefault="000474E4" w:rsidP="000474E4">
      <w:pPr>
        <w:tabs>
          <w:tab w:val="left" w:leader="dot" w:pos="10773"/>
        </w:tabs>
        <w:ind w:left="0"/>
        <w:rPr>
          <w:rFonts w:ascii="Times New Roman" w:hAnsi="Times New Roman" w:cs="Times New Roman"/>
          <w:b/>
          <w:sz w:val="24"/>
          <w:szCs w:val="24"/>
        </w:rPr>
      </w:pPr>
      <w:r>
        <w:rPr>
          <w:rFonts w:ascii="Times New Roman" w:hAnsi="Times New Roman" w:cs="Times New Roman"/>
          <w:b/>
          <w:sz w:val="24"/>
          <w:szCs w:val="24"/>
        </w:rPr>
        <w:t xml:space="preserve">Wstęp </w:t>
      </w:r>
    </w:p>
    <w:p w:rsidR="00322D48" w:rsidRDefault="00A67E0A" w:rsidP="000474E4">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 xml:space="preserve">Przywództwo Stanów Zjednoczonych w globalnej działalności </w:t>
      </w:r>
      <w:r w:rsidR="00360478">
        <w:rPr>
          <w:rFonts w:ascii="Times New Roman" w:hAnsi="Times New Roman" w:cs="Times New Roman"/>
          <w:sz w:val="24"/>
          <w:szCs w:val="24"/>
        </w:rPr>
        <w:t>ba</w:t>
      </w:r>
      <w:r w:rsidR="00185547">
        <w:rPr>
          <w:rFonts w:ascii="Times New Roman" w:hAnsi="Times New Roman" w:cs="Times New Roman"/>
          <w:sz w:val="24"/>
          <w:szCs w:val="24"/>
        </w:rPr>
        <w:t xml:space="preserve">dawczo-rozwojowej </w:t>
      </w:r>
      <w:r w:rsidR="00E2493A">
        <w:rPr>
          <w:rFonts w:ascii="Times New Roman" w:hAnsi="Times New Roman" w:cs="Times New Roman"/>
          <w:sz w:val="24"/>
          <w:szCs w:val="24"/>
        </w:rPr>
        <w:t xml:space="preserve">(B+R) </w:t>
      </w:r>
      <w:r w:rsidR="00185547">
        <w:rPr>
          <w:rFonts w:ascii="Times New Roman" w:hAnsi="Times New Roman" w:cs="Times New Roman"/>
          <w:sz w:val="24"/>
          <w:szCs w:val="24"/>
        </w:rPr>
        <w:t xml:space="preserve">w drugiej połowie XX w. było niekwestionowane. Dystans do wicelidera światowego, którym była </w:t>
      </w:r>
      <w:r w:rsidR="007B27C0">
        <w:rPr>
          <w:rFonts w:ascii="Times New Roman" w:hAnsi="Times New Roman" w:cs="Times New Roman"/>
          <w:sz w:val="24"/>
          <w:szCs w:val="24"/>
        </w:rPr>
        <w:t>przez kilka dekad</w:t>
      </w:r>
      <w:r w:rsidR="00E2493A">
        <w:rPr>
          <w:rFonts w:ascii="Times New Roman" w:hAnsi="Times New Roman" w:cs="Times New Roman"/>
          <w:sz w:val="24"/>
          <w:szCs w:val="24"/>
        </w:rPr>
        <w:t xml:space="preserve"> </w:t>
      </w:r>
      <w:r w:rsidR="00185547">
        <w:rPr>
          <w:rFonts w:ascii="Times New Roman" w:hAnsi="Times New Roman" w:cs="Times New Roman"/>
          <w:sz w:val="24"/>
          <w:szCs w:val="24"/>
        </w:rPr>
        <w:t xml:space="preserve">Japonia, był zawsze tak znaczący, że pozycja USA jako lidera wydawała się </w:t>
      </w:r>
      <w:r w:rsidR="00E2493A">
        <w:rPr>
          <w:rFonts w:ascii="Times New Roman" w:hAnsi="Times New Roman" w:cs="Times New Roman"/>
          <w:sz w:val="24"/>
          <w:szCs w:val="24"/>
        </w:rPr>
        <w:t>być stabilna</w:t>
      </w:r>
      <w:r w:rsidR="00F94EFE">
        <w:rPr>
          <w:rFonts w:ascii="Times New Roman" w:hAnsi="Times New Roman" w:cs="Times New Roman"/>
          <w:sz w:val="24"/>
          <w:szCs w:val="24"/>
        </w:rPr>
        <w:t xml:space="preserve"> i niezagrożona</w:t>
      </w:r>
      <w:r w:rsidR="00E2493A">
        <w:rPr>
          <w:rFonts w:ascii="Times New Roman" w:hAnsi="Times New Roman" w:cs="Times New Roman"/>
          <w:sz w:val="24"/>
          <w:szCs w:val="24"/>
        </w:rPr>
        <w:t>. Początkiem XXI w. nastąpiły wyraźne przemiany w globalnych B+R</w:t>
      </w:r>
      <w:r w:rsidR="00A55D44">
        <w:rPr>
          <w:rFonts w:ascii="Times New Roman" w:hAnsi="Times New Roman" w:cs="Times New Roman"/>
          <w:sz w:val="24"/>
          <w:szCs w:val="24"/>
        </w:rPr>
        <w:t>, a w ich konsekwencji spektakularne przyspieszenie</w:t>
      </w:r>
      <w:r w:rsidR="00E2493A">
        <w:rPr>
          <w:rFonts w:ascii="Times New Roman" w:hAnsi="Times New Roman" w:cs="Times New Roman"/>
          <w:sz w:val="24"/>
          <w:szCs w:val="24"/>
        </w:rPr>
        <w:t xml:space="preserve"> rozwoju technologicznego w Chinach. Mo</w:t>
      </w:r>
      <w:r w:rsidR="00B36AC9">
        <w:rPr>
          <w:rFonts w:ascii="Times New Roman" w:hAnsi="Times New Roman" w:cs="Times New Roman"/>
          <w:sz w:val="24"/>
          <w:szCs w:val="24"/>
        </w:rPr>
        <w:t>mentem przełomowym było uzyskanie</w:t>
      </w:r>
      <w:r w:rsidR="00E2493A">
        <w:rPr>
          <w:rFonts w:ascii="Times New Roman" w:hAnsi="Times New Roman" w:cs="Times New Roman"/>
          <w:sz w:val="24"/>
          <w:szCs w:val="24"/>
        </w:rPr>
        <w:t xml:space="preserve"> przez Chiny pozycji wicelidera światowych B+R w 2009 r., a dalsze wzmacnianie potencjału B+R chińskiej gospodarki daje podstawy do </w:t>
      </w:r>
      <w:r w:rsidR="00322D48">
        <w:rPr>
          <w:rFonts w:ascii="Times New Roman" w:hAnsi="Times New Roman" w:cs="Times New Roman"/>
          <w:sz w:val="24"/>
          <w:szCs w:val="24"/>
        </w:rPr>
        <w:t>postawienia hipotezy, że aktualnie mamy do czynienia z realną rywalizacją pomiędzy USA i Chinami o przywództwo w globalnej działalności badawczo-rozwojowej.</w:t>
      </w:r>
    </w:p>
    <w:p w:rsidR="00DA1A69" w:rsidRDefault="00322D48" w:rsidP="004C0644">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lastRenderedPageBreak/>
        <w:t>Celem artykułu jest ustalenie, czy Chiny mają szansę stać się globalnym liderem działalności B+R</w:t>
      </w:r>
      <w:r w:rsidR="00F62559">
        <w:rPr>
          <w:rFonts w:ascii="Times New Roman" w:hAnsi="Times New Roman" w:cs="Times New Roman"/>
          <w:sz w:val="24"/>
          <w:szCs w:val="24"/>
        </w:rPr>
        <w:t>. W tym kontekście</w:t>
      </w:r>
      <w:r w:rsidR="005030F8">
        <w:rPr>
          <w:rFonts w:ascii="Times New Roman" w:hAnsi="Times New Roman" w:cs="Times New Roman"/>
          <w:sz w:val="24"/>
          <w:szCs w:val="24"/>
        </w:rPr>
        <w:t xml:space="preserve"> celem rozważań jest</w:t>
      </w:r>
      <w:r w:rsidR="00F62559">
        <w:rPr>
          <w:rFonts w:ascii="Times New Roman" w:hAnsi="Times New Roman" w:cs="Times New Roman"/>
          <w:sz w:val="24"/>
          <w:szCs w:val="24"/>
        </w:rPr>
        <w:t xml:space="preserve"> także</w:t>
      </w:r>
      <w:r w:rsidR="005030F8">
        <w:rPr>
          <w:rFonts w:ascii="Times New Roman" w:hAnsi="Times New Roman" w:cs="Times New Roman"/>
          <w:sz w:val="24"/>
          <w:szCs w:val="24"/>
        </w:rPr>
        <w:t xml:space="preserve"> </w:t>
      </w:r>
      <w:r w:rsidR="00D21628">
        <w:rPr>
          <w:rFonts w:ascii="Times New Roman" w:hAnsi="Times New Roman" w:cs="Times New Roman"/>
          <w:sz w:val="24"/>
          <w:szCs w:val="24"/>
        </w:rPr>
        <w:t>identyfikacja obszarów przewag</w:t>
      </w:r>
      <w:r w:rsidR="004C5FE8">
        <w:rPr>
          <w:rFonts w:ascii="Times New Roman" w:hAnsi="Times New Roman" w:cs="Times New Roman"/>
          <w:sz w:val="24"/>
          <w:szCs w:val="24"/>
        </w:rPr>
        <w:t xml:space="preserve"> w działalności badawczo-rozwojowej</w:t>
      </w:r>
      <w:r w:rsidR="00D21628">
        <w:rPr>
          <w:rFonts w:ascii="Times New Roman" w:hAnsi="Times New Roman" w:cs="Times New Roman"/>
          <w:sz w:val="24"/>
          <w:szCs w:val="24"/>
        </w:rPr>
        <w:t xml:space="preserve"> </w:t>
      </w:r>
      <w:r w:rsidR="004C5FE8">
        <w:rPr>
          <w:rFonts w:ascii="Times New Roman" w:hAnsi="Times New Roman" w:cs="Times New Roman"/>
          <w:sz w:val="24"/>
          <w:szCs w:val="24"/>
        </w:rPr>
        <w:t xml:space="preserve">USA i Chin. </w:t>
      </w:r>
      <w:r>
        <w:rPr>
          <w:rFonts w:ascii="Times New Roman" w:hAnsi="Times New Roman" w:cs="Times New Roman"/>
          <w:sz w:val="24"/>
          <w:szCs w:val="24"/>
        </w:rPr>
        <w:t xml:space="preserve">Realizacji celu </w:t>
      </w:r>
      <w:r w:rsidR="00D21628">
        <w:rPr>
          <w:rFonts w:ascii="Times New Roman" w:hAnsi="Times New Roman" w:cs="Times New Roman"/>
          <w:sz w:val="24"/>
          <w:szCs w:val="24"/>
        </w:rPr>
        <w:t xml:space="preserve">posłuży </w:t>
      </w:r>
      <w:r w:rsidR="002D0961">
        <w:rPr>
          <w:rFonts w:ascii="Times New Roman" w:hAnsi="Times New Roman" w:cs="Times New Roman"/>
          <w:sz w:val="24"/>
          <w:szCs w:val="24"/>
        </w:rPr>
        <w:t>analiza porównawcza</w:t>
      </w:r>
      <w:r w:rsidR="004C0644">
        <w:rPr>
          <w:rFonts w:ascii="Times New Roman" w:hAnsi="Times New Roman" w:cs="Times New Roman"/>
          <w:sz w:val="24"/>
          <w:szCs w:val="24"/>
        </w:rPr>
        <w:t xml:space="preserve"> w ujęciu dynamicznym wskaźników B+R (</w:t>
      </w:r>
      <w:r w:rsidR="004C0644" w:rsidRPr="004C0644">
        <w:rPr>
          <w:rFonts w:ascii="Times New Roman" w:hAnsi="Times New Roman" w:cs="Times New Roman"/>
          <w:i/>
          <w:sz w:val="24"/>
          <w:szCs w:val="24"/>
        </w:rPr>
        <w:t>input</w:t>
      </w:r>
      <w:r w:rsidR="004C0644">
        <w:rPr>
          <w:rFonts w:ascii="Times New Roman" w:hAnsi="Times New Roman" w:cs="Times New Roman"/>
          <w:sz w:val="24"/>
          <w:szCs w:val="24"/>
        </w:rPr>
        <w:t xml:space="preserve"> i </w:t>
      </w:r>
      <w:r w:rsidR="004C0644" w:rsidRPr="004C0644">
        <w:rPr>
          <w:rFonts w:ascii="Times New Roman" w:hAnsi="Times New Roman" w:cs="Times New Roman"/>
          <w:i/>
          <w:sz w:val="24"/>
          <w:szCs w:val="24"/>
        </w:rPr>
        <w:t>output</w:t>
      </w:r>
      <w:r w:rsidR="004C0644">
        <w:rPr>
          <w:rFonts w:ascii="Times New Roman" w:hAnsi="Times New Roman" w:cs="Times New Roman"/>
          <w:sz w:val="24"/>
          <w:szCs w:val="24"/>
        </w:rPr>
        <w:t xml:space="preserve">), która pozwoli na identyfikację przewag w działalności badawczo-rozwojowej badanych gospodarek. Kluczowe źródło danych statystycznych stanowi baza danych OECD, która jest </w:t>
      </w:r>
      <w:r w:rsidR="00023707">
        <w:rPr>
          <w:rFonts w:ascii="Times New Roman" w:hAnsi="Times New Roman" w:cs="Times New Roman"/>
          <w:sz w:val="24"/>
          <w:szCs w:val="24"/>
        </w:rPr>
        <w:t>największą bazą informacji</w:t>
      </w:r>
      <w:r w:rsidR="00C83CE7">
        <w:rPr>
          <w:rFonts w:ascii="Times New Roman" w:hAnsi="Times New Roman" w:cs="Times New Roman"/>
          <w:sz w:val="24"/>
          <w:szCs w:val="24"/>
        </w:rPr>
        <w:t xml:space="preserve"> odnośnie do B+R.</w:t>
      </w:r>
    </w:p>
    <w:p w:rsidR="000474E4" w:rsidRDefault="000474E4" w:rsidP="000474E4">
      <w:pPr>
        <w:tabs>
          <w:tab w:val="left" w:leader="dot" w:pos="10773"/>
        </w:tabs>
        <w:ind w:left="0"/>
        <w:rPr>
          <w:rFonts w:ascii="Times New Roman" w:hAnsi="Times New Roman" w:cs="Times New Roman"/>
          <w:sz w:val="24"/>
          <w:szCs w:val="24"/>
        </w:rPr>
      </w:pPr>
    </w:p>
    <w:p w:rsidR="000474E4" w:rsidRPr="000474E4" w:rsidRDefault="001E70F7" w:rsidP="000474E4">
      <w:pPr>
        <w:tabs>
          <w:tab w:val="left" w:leader="dot" w:pos="10773"/>
        </w:tabs>
        <w:ind w:left="0"/>
        <w:rPr>
          <w:rFonts w:ascii="Times New Roman" w:hAnsi="Times New Roman" w:cs="Times New Roman"/>
          <w:b/>
          <w:sz w:val="24"/>
          <w:szCs w:val="24"/>
        </w:rPr>
      </w:pPr>
      <w:r>
        <w:rPr>
          <w:rFonts w:ascii="Times New Roman" w:hAnsi="Times New Roman" w:cs="Times New Roman"/>
          <w:b/>
          <w:sz w:val="24"/>
          <w:szCs w:val="24"/>
        </w:rPr>
        <w:t>Trendy</w:t>
      </w:r>
      <w:r w:rsidR="00F62559">
        <w:rPr>
          <w:rFonts w:ascii="Times New Roman" w:hAnsi="Times New Roman" w:cs="Times New Roman"/>
          <w:b/>
          <w:sz w:val="24"/>
          <w:szCs w:val="24"/>
        </w:rPr>
        <w:t xml:space="preserve"> globalnej działalności B+R</w:t>
      </w:r>
    </w:p>
    <w:p w:rsidR="00C37E5F" w:rsidRPr="00C37E5F" w:rsidRDefault="00C37E5F" w:rsidP="00C37E5F">
      <w:pPr>
        <w:ind w:left="0"/>
        <w:rPr>
          <w:rFonts w:ascii="Times New Roman" w:hAnsi="Times New Roman" w:cs="Times New Roman"/>
          <w:sz w:val="24"/>
          <w:szCs w:val="24"/>
        </w:rPr>
      </w:pPr>
      <w:r w:rsidRPr="00C37E5F">
        <w:rPr>
          <w:rFonts w:ascii="Times New Roman" w:hAnsi="Times New Roman" w:cs="Times New Roman"/>
          <w:sz w:val="24"/>
          <w:szCs w:val="24"/>
        </w:rPr>
        <w:t xml:space="preserve">Globalne nakłady badawczo-rozwojowe bardzo dynamicznie wzrastają od początku lat 80. XX w., co wynika bezpośrednio z procesu globalizacji, który naznaczony jest gwałtownym przyspieszeniem postępu technologicznego. W tym ostatnim </w:t>
      </w:r>
      <w:r>
        <w:rPr>
          <w:rFonts w:ascii="Times New Roman" w:hAnsi="Times New Roman" w:cs="Times New Roman"/>
          <w:sz w:val="24"/>
          <w:szCs w:val="24"/>
        </w:rPr>
        <w:t xml:space="preserve">kluczową rolę spełniają </w:t>
      </w:r>
      <w:r w:rsidR="00A55D44">
        <w:rPr>
          <w:rFonts w:ascii="Times New Roman" w:hAnsi="Times New Roman" w:cs="Times New Roman"/>
          <w:sz w:val="24"/>
          <w:szCs w:val="24"/>
        </w:rPr>
        <w:t>nakłady</w:t>
      </w:r>
      <w:r>
        <w:rPr>
          <w:rFonts w:ascii="Times New Roman" w:hAnsi="Times New Roman" w:cs="Times New Roman"/>
          <w:sz w:val="24"/>
          <w:szCs w:val="24"/>
        </w:rPr>
        <w:t xml:space="preserve"> B+R</w:t>
      </w:r>
      <w:r w:rsidRPr="00C37E5F">
        <w:rPr>
          <w:rFonts w:ascii="Times New Roman" w:hAnsi="Times New Roman" w:cs="Times New Roman"/>
          <w:sz w:val="24"/>
          <w:szCs w:val="24"/>
        </w:rPr>
        <w:t xml:space="preserve">, które zmierzają do stworzenia nowej wiedzy i technologii. Sam proces globalizacji doprowadził do powstania koncepcji gospodarki opartej na wiedzy, w której zasadniczym czynnikiem produkcji jest wiedza, a jej zasoby wyznaczają miejsce kraju w gospodarce światowej. W ten sposób nieporównywalnie wzrosło znaczenie wiedzy oraz dynamizowania jej tworzenia poprzez intensyfikację nakładów badawczo-rozwojowych na niespotykaną dotąd skalę. Największa dynamika obserwowana jest od połowy lat 90. XX w. O ile w 1981 r. wielkość globalnych </w:t>
      </w:r>
      <w:r>
        <w:rPr>
          <w:rFonts w:ascii="Times New Roman" w:hAnsi="Times New Roman" w:cs="Times New Roman"/>
          <w:sz w:val="24"/>
          <w:szCs w:val="24"/>
        </w:rPr>
        <w:t>B+R</w:t>
      </w:r>
      <w:r w:rsidRPr="00C37E5F">
        <w:rPr>
          <w:rFonts w:ascii="Times New Roman" w:hAnsi="Times New Roman" w:cs="Times New Roman"/>
          <w:sz w:val="24"/>
          <w:szCs w:val="24"/>
        </w:rPr>
        <w:t xml:space="preserve"> wynosiła ok. 163 mld USD, to do 1989 r. uległa ona podwojeniu, a w 1995 r. zbliżyła się do 473 mld USD, by w 2000 r. osiągnąć poziom ok. 678 mld USD, w 201</w:t>
      </w:r>
      <w:r w:rsidR="00A55D44">
        <w:rPr>
          <w:rFonts w:ascii="Times New Roman" w:hAnsi="Times New Roman" w:cs="Times New Roman"/>
          <w:sz w:val="24"/>
          <w:szCs w:val="24"/>
        </w:rPr>
        <w:t>0 r. – ok. 1,3 bln USD, a w 2013</w:t>
      </w:r>
      <w:r w:rsidRPr="00C37E5F">
        <w:rPr>
          <w:rFonts w:ascii="Times New Roman" w:hAnsi="Times New Roman" w:cs="Times New Roman"/>
          <w:sz w:val="24"/>
          <w:szCs w:val="24"/>
        </w:rPr>
        <w:t xml:space="preserve"> r. – ok. 1,6 bln USD (rys.1). Reasumując w latach 1981-2013 światowe nakłady badawczo-rozwojowe zwiększyły się niemal dziesięciokrotnie, a w okresie 1995-2013 wzrosły ponad trzykrotnie. Warto także podkreślić, że globalne </w:t>
      </w:r>
      <w:r>
        <w:rPr>
          <w:rFonts w:ascii="Times New Roman" w:hAnsi="Times New Roman" w:cs="Times New Roman"/>
          <w:sz w:val="24"/>
          <w:szCs w:val="24"/>
        </w:rPr>
        <w:t>B+R</w:t>
      </w:r>
      <w:r w:rsidRPr="00C37E5F">
        <w:rPr>
          <w:rFonts w:ascii="Times New Roman" w:hAnsi="Times New Roman" w:cs="Times New Roman"/>
          <w:sz w:val="24"/>
          <w:szCs w:val="24"/>
        </w:rPr>
        <w:t xml:space="preserve"> nieustająco wzrastały także w okresach słabszej koniunktury, czy kryzysów w gospodarce światowej. Silna presja na nieustanne tworzenie wiedzy i technologii powoduje odporność inwestycji </w:t>
      </w:r>
      <w:r>
        <w:rPr>
          <w:rFonts w:ascii="Times New Roman" w:hAnsi="Times New Roman" w:cs="Times New Roman"/>
          <w:sz w:val="24"/>
          <w:szCs w:val="24"/>
        </w:rPr>
        <w:t>B+R</w:t>
      </w:r>
      <w:r w:rsidRPr="00C37E5F">
        <w:rPr>
          <w:rFonts w:ascii="Times New Roman" w:hAnsi="Times New Roman" w:cs="Times New Roman"/>
          <w:sz w:val="24"/>
          <w:szCs w:val="24"/>
        </w:rPr>
        <w:t xml:space="preserve"> na dekoniunkturę.</w:t>
      </w:r>
    </w:p>
    <w:p w:rsidR="00C37E5F" w:rsidRDefault="00C37E5F" w:rsidP="00C37E5F">
      <w:pPr>
        <w:ind w:left="0" w:firstLine="708"/>
        <w:rPr>
          <w:rFonts w:ascii="Times New Roman" w:hAnsi="Times New Roman" w:cs="Times New Roman"/>
          <w:sz w:val="24"/>
          <w:szCs w:val="24"/>
        </w:rPr>
      </w:pPr>
      <w:r>
        <w:rPr>
          <w:rFonts w:ascii="Times New Roman" w:hAnsi="Times New Roman" w:cs="Times New Roman"/>
          <w:sz w:val="24"/>
          <w:szCs w:val="24"/>
        </w:rPr>
        <w:t xml:space="preserve">Cechą charakterystyczną globalnych nakładów B+R jest silna koncentracja, która widoczna jest na rys. 1. Do końca lat 80. XX w. inwestycje B+R realizowane były w zasadzie w pięciu krajach, a mianowicie w USA, Japonii, Niemczech, Francji i Wielkiej Brytanii. Na te pięć gospodarek przypadało ok. 85% nakładów B+R świata, a przy tym wyraźnie wyróżniała się pozycja lidera – Stanów Zjednoczonych, gdzie nakłady były wyższe niż suma nakładów pozostałej czwórki. W drugiej połowie lat 90. XX w. do grona czołówki dołączyły dwa kraje azjatyckie: Korea Płd. (od 1995 r.) oraz Chiny (od 1997 r.). Od tego czasu znaczenie zwłaszcza Chin zaczęło gwałtownie wzrastać, tak że w 2004 r. uplasowały się na trzecim miejscu (po USA </w:t>
      </w:r>
      <w:r>
        <w:rPr>
          <w:rFonts w:ascii="Times New Roman" w:hAnsi="Times New Roman" w:cs="Times New Roman"/>
          <w:sz w:val="24"/>
          <w:szCs w:val="24"/>
        </w:rPr>
        <w:lastRenderedPageBreak/>
        <w:t>i Japonii) pod względem wielkości nakładów B+R, a od 2009 r. nieustająco wzmacniają się na pozycji wicelidera światowego. Natomiast Korea Płd. od 2010 r. zajmuje piątą lokatę w świecie. Tak więc do pięciu tradycyjnie czołowych krajów dołączyły już na stałe Chiny i Korea Płd. i obecnie na całą siódemkę przypada blisko 80% inwestycji badawczo-rozwojowych świata, co konstytuuje nowy układ, ale wciąż silnie skoncentrowany</w:t>
      </w:r>
      <w:r w:rsidR="00107F4C">
        <w:rPr>
          <w:rFonts w:ascii="Times New Roman" w:hAnsi="Times New Roman" w:cs="Times New Roman"/>
          <w:sz w:val="24"/>
          <w:szCs w:val="24"/>
        </w:rPr>
        <w:t xml:space="preserve"> (</w:t>
      </w:r>
      <w:r w:rsidR="004D19D2">
        <w:rPr>
          <w:rFonts w:ascii="Times New Roman" w:hAnsi="Times New Roman" w:cs="Times New Roman"/>
          <w:sz w:val="24"/>
          <w:szCs w:val="24"/>
        </w:rPr>
        <w:t>Autor</w:t>
      </w:r>
      <w:r w:rsidR="00107F4C">
        <w:rPr>
          <w:rFonts w:ascii="Times New Roman" w:hAnsi="Times New Roman" w:cs="Times New Roman"/>
          <w:sz w:val="24"/>
          <w:szCs w:val="24"/>
        </w:rPr>
        <w:t>)</w:t>
      </w:r>
      <w:r>
        <w:rPr>
          <w:rFonts w:ascii="Times New Roman" w:hAnsi="Times New Roman" w:cs="Times New Roman"/>
          <w:sz w:val="24"/>
          <w:szCs w:val="24"/>
        </w:rPr>
        <w:t>.</w:t>
      </w:r>
    </w:p>
    <w:p w:rsidR="000474E4" w:rsidRDefault="000474E4" w:rsidP="000474E4">
      <w:pPr>
        <w:tabs>
          <w:tab w:val="left" w:leader="dot" w:pos="10773"/>
        </w:tabs>
        <w:ind w:left="0"/>
        <w:rPr>
          <w:rFonts w:ascii="Times New Roman" w:hAnsi="Times New Roman" w:cs="Times New Roman"/>
          <w:sz w:val="24"/>
          <w:szCs w:val="24"/>
        </w:rPr>
      </w:pPr>
    </w:p>
    <w:p w:rsidR="00F62559" w:rsidRDefault="007B27C0" w:rsidP="000474E4">
      <w:pPr>
        <w:tabs>
          <w:tab w:val="left" w:leader="dot" w:pos="10773"/>
        </w:tabs>
        <w:ind w:left="0"/>
        <w:rPr>
          <w:rFonts w:ascii="Times New Roman" w:hAnsi="Times New Roman" w:cs="Times New Roman"/>
          <w:sz w:val="24"/>
          <w:szCs w:val="24"/>
        </w:rPr>
      </w:pPr>
      <w:r>
        <w:rPr>
          <w:noProof/>
          <w:lang w:eastAsia="pl-PL"/>
        </w:rPr>
        <w:drawing>
          <wp:inline distT="0" distB="0" distL="0" distR="0" wp14:anchorId="2EBC4B00" wp14:editId="03F3840B">
            <wp:extent cx="5400000" cy="2520000"/>
            <wp:effectExtent l="0" t="0" r="10795" b="1397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7C32" w:rsidRDefault="00817C32" w:rsidP="00817C32">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Rysunek 1. Całkowite nakłady B+R (w mld USD PPP)</w:t>
      </w:r>
    </w:p>
    <w:p w:rsidR="00F62559" w:rsidRPr="000D0B7D" w:rsidRDefault="00CD67DC" w:rsidP="000474E4">
      <w:pPr>
        <w:tabs>
          <w:tab w:val="left" w:leader="dot" w:pos="10773"/>
        </w:tabs>
        <w:ind w:left="0"/>
        <w:rPr>
          <w:rFonts w:ascii="Times New Roman" w:hAnsi="Times New Roman" w:cs="Times New Roman"/>
          <w:sz w:val="20"/>
          <w:szCs w:val="20"/>
        </w:rPr>
      </w:pPr>
      <w:r w:rsidRPr="000D0B7D">
        <w:rPr>
          <w:rFonts w:ascii="Times New Roman" w:hAnsi="Times New Roman" w:cs="Times New Roman"/>
          <w:sz w:val="20"/>
          <w:szCs w:val="20"/>
        </w:rPr>
        <w:t>Źródło: opracowanie własne na podstawie OECD (2016a).</w:t>
      </w:r>
    </w:p>
    <w:p w:rsidR="00954714" w:rsidRDefault="00954714" w:rsidP="000474E4">
      <w:pPr>
        <w:tabs>
          <w:tab w:val="left" w:leader="dot" w:pos="10773"/>
        </w:tabs>
        <w:ind w:left="0"/>
        <w:rPr>
          <w:rFonts w:ascii="Times New Roman" w:hAnsi="Times New Roman" w:cs="Times New Roman"/>
          <w:sz w:val="24"/>
          <w:szCs w:val="24"/>
        </w:rPr>
      </w:pPr>
    </w:p>
    <w:p w:rsidR="00F62559" w:rsidRDefault="00A55D44" w:rsidP="00954714">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Równolegle ze znaczną</w:t>
      </w:r>
      <w:r w:rsidR="00954714">
        <w:rPr>
          <w:rFonts w:ascii="Times New Roman" w:hAnsi="Times New Roman" w:cs="Times New Roman"/>
          <w:sz w:val="24"/>
          <w:szCs w:val="24"/>
        </w:rPr>
        <w:t xml:space="preserve"> koncentracj</w:t>
      </w:r>
      <w:r>
        <w:rPr>
          <w:rFonts w:ascii="Times New Roman" w:hAnsi="Times New Roman" w:cs="Times New Roman"/>
          <w:sz w:val="24"/>
          <w:szCs w:val="24"/>
        </w:rPr>
        <w:t>ą</w:t>
      </w:r>
      <w:r w:rsidR="00954714">
        <w:rPr>
          <w:rFonts w:ascii="Times New Roman" w:hAnsi="Times New Roman" w:cs="Times New Roman"/>
          <w:sz w:val="24"/>
          <w:szCs w:val="24"/>
        </w:rPr>
        <w:t xml:space="preserve"> globalnych B+R, od lat 90. XX w. obserwuje się proces decentralizacji w tym obszarze, która </w:t>
      </w:r>
      <w:r w:rsidR="00954714" w:rsidRPr="00E36C61">
        <w:rPr>
          <w:rFonts w:ascii="Times New Roman" w:hAnsi="Times New Roman" w:cs="Times New Roman"/>
          <w:sz w:val="24"/>
          <w:szCs w:val="24"/>
        </w:rPr>
        <w:t xml:space="preserve">objawia się realizacją </w:t>
      </w:r>
      <w:r w:rsidR="00954714">
        <w:rPr>
          <w:rFonts w:ascii="Times New Roman" w:hAnsi="Times New Roman" w:cs="Times New Roman"/>
          <w:sz w:val="24"/>
          <w:szCs w:val="24"/>
        </w:rPr>
        <w:t>B+R</w:t>
      </w:r>
      <w:r w:rsidR="00954714" w:rsidRPr="00E36C61">
        <w:rPr>
          <w:rFonts w:ascii="Times New Roman" w:hAnsi="Times New Roman" w:cs="Times New Roman"/>
          <w:sz w:val="24"/>
          <w:szCs w:val="24"/>
        </w:rPr>
        <w:t xml:space="preserve"> także w innych krajach, poza tradycyjnymi centrami w triadzie (OECD, 2011; </w:t>
      </w:r>
      <w:r w:rsidR="004C0644">
        <w:rPr>
          <w:rFonts w:ascii="Times New Roman" w:eastAsia="Calibri" w:hAnsi="Times New Roman" w:cs="Times New Roman"/>
          <w:sz w:val="24"/>
          <w:szCs w:val="24"/>
          <w:lang w:val="en-US"/>
        </w:rPr>
        <w:t>Kehal,</w:t>
      </w:r>
      <w:r w:rsidR="00954714">
        <w:rPr>
          <w:rFonts w:ascii="Times New Roman" w:eastAsia="Calibri" w:hAnsi="Times New Roman" w:cs="Times New Roman"/>
          <w:sz w:val="24"/>
          <w:szCs w:val="24"/>
          <w:lang w:val="en-US"/>
        </w:rPr>
        <w:t xml:space="preserve"> Singh, 2006, s</w:t>
      </w:r>
      <w:r w:rsidR="00954714" w:rsidRPr="00E36C61">
        <w:rPr>
          <w:rFonts w:ascii="Times New Roman" w:eastAsia="Calibri" w:hAnsi="Times New Roman" w:cs="Times New Roman"/>
          <w:sz w:val="24"/>
          <w:szCs w:val="24"/>
          <w:lang w:val="en-US"/>
        </w:rPr>
        <w:t>. 432-446)</w:t>
      </w:r>
      <w:r w:rsidR="00954714" w:rsidRPr="00E36C61">
        <w:rPr>
          <w:rFonts w:ascii="Times New Roman" w:hAnsi="Times New Roman" w:cs="Times New Roman"/>
          <w:sz w:val="24"/>
          <w:szCs w:val="24"/>
        </w:rPr>
        <w:t>. Faktycznie obs</w:t>
      </w:r>
      <w:r>
        <w:rPr>
          <w:rFonts w:ascii="Times New Roman" w:hAnsi="Times New Roman" w:cs="Times New Roman"/>
          <w:sz w:val="24"/>
          <w:szCs w:val="24"/>
        </w:rPr>
        <w:t>erwuje się wzrost inwestycji B+R</w:t>
      </w:r>
      <w:r w:rsidR="00954714" w:rsidRPr="00E36C61">
        <w:rPr>
          <w:rFonts w:ascii="Times New Roman" w:hAnsi="Times New Roman" w:cs="Times New Roman"/>
          <w:sz w:val="24"/>
          <w:szCs w:val="24"/>
        </w:rPr>
        <w:t xml:space="preserve"> w kra</w:t>
      </w:r>
      <w:r w:rsidR="004C0644">
        <w:rPr>
          <w:rFonts w:ascii="Times New Roman" w:hAnsi="Times New Roman" w:cs="Times New Roman"/>
          <w:sz w:val="24"/>
          <w:szCs w:val="24"/>
        </w:rPr>
        <w:t>jach rozwijających się (Borras,</w:t>
      </w:r>
      <w:r w:rsidR="00954714" w:rsidRPr="00E36C61">
        <w:rPr>
          <w:rFonts w:ascii="Times New Roman" w:hAnsi="Times New Roman" w:cs="Times New Roman"/>
          <w:sz w:val="24"/>
          <w:szCs w:val="24"/>
        </w:rPr>
        <w:t xml:space="preserve"> Hakonsson, 2012</w:t>
      </w:r>
      <w:r w:rsidR="00954714">
        <w:rPr>
          <w:rFonts w:ascii="Times New Roman" w:hAnsi="Times New Roman" w:cs="Times New Roman"/>
          <w:sz w:val="24"/>
          <w:szCs w:val="24"/>
        </w:rPr>
        <w:t>)</w:t>
      </w:r>
      <w:r w:rsidR="00954714" w:rsidRPr="00E36C61">
        <w:rPr>
          <w:rFonts w:ascii="Times New Roman" w:hAnsi="Times New Roman" w:cs="Times New Roman"/>
          <w:sz w:val="24"/>
          <w:szCs w:val="24"/>
        </w:rPr>
        <w:t xml:space="preserve"> i w 2013 r. na kraje poza czołową siódemką przypadało ok. 332 mld USD wobec ok. 336 mld USD w Chinach i ok. 453 mld USD w USA</w:t>
      </w:r>
      <w:r w:rsidR="00954714">
        <w:rPr>
          <w:rFonts w:ascii="Times New Roman" w:hAnsi="Times New Roman" w:cs="Times New Roman"/>
          <w:sz w:val="24"/>
          <w:szCs w:val="24"/>
        </w:rPr>
        <w:t>.</w:t>
      </w:r>
      <w:r w:rsidR="00954714" w:rsidRPr="00E36C61">
        <w:rPr>
          <w:rFonts w:ascii="Times New Roman" w:hAnsi="Times New Roman" w:cs="Times New Roman"/>
          <w:sz w:val="24"/>
          <w:szCs w:val="24"/>
        </w:rPr>
        <w:t xml:space="preserve"> Decentralizacja postępuje znacząco od 2000 r., a w globalnych nakładach badawczo-rozwojowych coraz większe znaczenie mają pozostałe kraje rozwinięte oraz kraje rozwijające się z Rosją, Indiami, Brazylią (</w:t>
      </w:r>
      <w:r w:rsidR="00680282" w:rsidRPr="00E36C61">
        <w:rPr>
          <w:rFonts w:ascii="Times New Roman" w:hAnsi="Times New Roman" w:cs="Times New Roman"/>
          <w:bCs/>
          <w:sz w:val="24"/>
          <w:szCs w:val="24"/>
          <w:lang w:val="en-US"/>
        </w:rPr>
        <w:t xml:space="preserve">OECD, </w:t>
      </w:r>
      <w:r w:rsidR="00680282">
        <w:rPr>
          <w:rFonts w:ascii="Times New Roman" w:hAnsi="Times New Roman" w:cs="Times New Roman"/>
          <w:color w:val="000000"/>
          <w:sz w:val="24"/>
          <w:szCs w:val="24"/>
          <w:lang w:val="en-US"/>
        </w:rPr>
        <w:t>2010, s</w:t>
      </w:r>
      <w:r w:rsidR="00680282" w:rsidRPr="00E36C61">
        <w:rPr>
          <w:rFonts w:ascii="Times New Roman" w:hAnsi="Times New Roman" w:cs="Times New Roman"/>
          <w:color w:val="000000"/>
          <w:sz w:val="24"/>
          <w:szCs w:val="24"/>
          <w:lang w:val="en-US"/>
        </w:rPr>
        <w:t>. 118-121</w:t>
      </w:r>
      <w:r w:rsidR="00680282">
        <w:rPr>
          <w:rFonts w:ascii="Times New Roman" w:hAnsi="Times New Roman" w:cs="Times New Roman"/>
          <w:color w:val="000000"/>
          <w:sz w:val="24"/>
          <w:szCs w:val="24"/>
          <w:lang w:val="en-US"/>
        </w:rPr>
        <w:t xml:space="preserve">; </w:t>
      </w:r>
      <w:r w:rsidR="00954714" w:rsidRPr="00E36C61">
        <w:rPr>
          <w:rFonts w:ascii="Times New Roman" w:hAnsi="Times New Roman" w:cs="Times New Roman"/>
          <w:bCs/>
          <w:sz w:val="24"/>
          <w:szCs w:val="24"/>
          <w:lang w:val="en-US"/>
        </w:rPr>
        <w:t>UNCTAD, 2005a</w:t>
      </w:r>
      <w:r w:rsidR="00EB17E2">
        <w:rPr>
          <w:rFonts w:ascii="Times New Roman" w:hAnsi="Times New Roman" w:cs="Times New Roman"/>
          <w:bCs/>
          <w:sz w:val="24"/>
          <w:szCs w:val="24"/>
          <w:lang w:val="en-US"/>
        </w:rPr>
        <w:t>, s</w:t>
      </w:r>
      <w:r w:rsidR="00954714" w:rsidRPr="00E36C61">
        <w:rPr>
          <w:rFonts w:ascii="Times New Roman" w:hAnsi="Times New Roman" w:cs="Times New Roman"/>
          <w:bCs/>
          <w:sz w:val="24"/>
          <w:szCs w:val="24"/>
          <w:lang w:val="en-US"/>
        </w:rPr>
        <w:t>. 3-4</w:t>
      </w:r>
      <w:r w:rsidR="00EB17E2">
        <w:rPr>
          <w:rFonts w:ascii="Times New Roman" w:hAnsi="Times New Roman" w:cs="Times New Roman"/>
          <w:bCs/>
          <w:sz w:val="24"/>
          <w:szCs w:val="24"/>
          <w:lang w:val="en-US"/>
        </w:rPr>
        <w:t>; 2005c, s</w:t>
      </w:r>
      <w:r w:rsidR="00680282">
        <w:rPr>
          <w:rFonts w:ascii="Times New Roman" w:hAnsi="Times New Roman" w:cs="Times New Roman"/>
          <w:bCs/>
          <w:sz w:val="24"/>
          <w:szCs w:val="24"/>
          <w:lang w:val="en-US"/>
        </w:rPr>
        <w:t>. 7-10</w:t>
      </w:r>
      <w:r w:rsidR="00954714" w:rsidRPr="00E36C61">
        <w:rPr>
          <w:rFonts w:ascii="Times New Roman" w:hAnsi="Times New Roman" w:cs="Times New Roman"/>
          <w:bCs/>
          <w:sz w:val="24"/>
          <w:szCs w:val="24"/>
          <w:lang w:val="en-US"/>
        </w:rPr>
        <w:t>)</w:t>
      </w:r>
      <w:r w:rsidR="00954714" w:rsidRPr="00E36C61">
        <w:rPr>
          <w:rFonts w:ascii="Times New Roman" w:hAnsi="Times New Roman" w:cs="Times New Roman"/>
          <w:sz w:val="24"/>
          <w:szCs w:val="24"/>
        </w:rPr>
        <w:t>. Oczywiście efektem decentralizacji działalności badawczo-rozwojowej jest przede wszystkim sukces Chin i Korei Płd., które w obecnym układzie weszły do czołówki światowej (</w:t>
      </w:r>
      <w:r w:rsidR="004C0644">
        <w:rPr>
          <w:rFonts w:ascii="Times New Roman" w:eastAsia="Times New Roman" w:hAnsi="Times New Roman"/>
          <w:bCs/>
          <w:color w:val="333333"/>
          <w:kern w:val="36"/>
          <w:sz w:val="24"/>
          <w:szCs w:val="24"/>
          <w:lang w:val="en-US" w:eastAsia="pl-PL"/>
        </w:rPr>
        <w:t>Lu,</w:t>
      </w:r>
      <w:r w:rsidR="00954714" w:rsidRPr="00E36C61">
        <w:rPr>
          <w:rFonts w:ascii="Times New Roman" w:eastAsia="Times New Roman" w:hAnsi="Times New Roman"/>
          <w:bCs/>
          <w:color w:val="333333"/>
          <w:kern w:val="36"/>
          <w:sz w:val="24"/>
          <w:szCs w:val="24"/>
          <w:lang w:val="en-US" w:eastAsia="pl-PL"/>
        </w:rPr>
        <w:t xml:space="preserve"> Chen, 2012</w:t>
      </w:r>
      <w:r w:rsidR="00680282">
        <w:rPr>
          <w:rFonts w:ascii="Times New Roman" w:eastAsia="Times New Roman" w:hAnsi="Times New Roman"/>
          <w:bCs/>
          <w:color w:val="333333"/>
          <w:kern w:val="36"/>
          <w:sz w:val="24"/>
          <w:szCs w:val="24"/>
          <w:lang w:val="en-US" w:eastAsia="pl-PL"/>
        </w:rPr>
        <w:t>;</w:t>
      </w:r>
      <w:r w:rsidR="00680282" w:rsidRPr="00680282">
        <w:rPr>
          <w:rFonts w:ascii="Times New Roman" w:hAnsi="Times New Roman" w:cs="Times New Roman"/>
          <w:sz w:val="24"/>
          <w:szCs w:val="24"/>
        </w:rPr>
        <w:t xml:space="preserve"> </w:t>
      </w:r>
      <w:r w:rsidR="00680282" w:rsidRPr="00E36C61">
        <w:rPr>
          <w:rFonts w:ascii="Times New Roman" w:hAnsi="Times New Roman" w:cs="Times New Roman"/>
          <w:sz w:val="24"/>
          <w:szCs w:val="24"/>
        </w:rPr>
        <w:t>Hiratuka, 2011</w:t>
      </w:r>
      <w:r w:rsidR="00954714" w:rsidRPr="00E36C61">
        <w:rPr>
          <w:rFonts w:ascii="Times New Roman" w:eastAsia="Times New Roman" w:hAnsi="Times New Roman"/>
          <w:bCs/>
          <w:color w:val="333333"/>
          <w:kern w:val="36"/>
          <w:sz w:val="24"/>
          <w:szCs w:val="24"/>
          <w:lang w:val="en-US" w:eastAsia="pl-PL"/>
        </w:rPr>
        <w:t>).</w:t>
      </w:r>
      <w:r w:rsidR="00954714" w:rsidRPr="00E36C61">
        <w:rPr>
          <w:rFonts w:ascii="Times New Roman" w:hAnsi="Times New Roman" w:cs="Times New Roman"/>
          <w:sz w:val="24"/>
          <w:szCs w:val="24"/>
        </w:rPr>
        <w:t xml:space="preserve"> Na temat decentralizacji globalnej działalności badawczo-rozwojowej poja</w:t>
      </w:r>
      <w:r w:rsidR="00954714">
        <w:rPr>
          <w:rFonts w:ascii="Times New Roman" w:hAnsi="Times New Roman" w:cs="Times New Roman"/>
          <w:sz w:val="24"/>
          <w:szCs w:val="24"/>
        </w:rPr>
        <w:t>wiło się wiele publikacji, w tym autorstwa OECD i</w:t>
      </w:r>
      <w:r w:rsidR="00954714" w:rsidRPr="00E36C61">
        <w:rPr>
          <w:rFonts w:ascii="Times New Roman" w:hAnsi="Times New Roman" w:cs="Times New Roman"/>
          <w:sz w:val="24"/>
          <w:szCs w:val="24"/>
        </w:rPr>
        <w:t xml:space="preserve"> UNCTAD, upatrujących w tym procesie szans dla krajów rozwijających się na włączenie się w globalny mechanizm tworzenia wiedzy poprzez wzro</w:t>
      </w:r>
      <w:r>
        <w:rPr>
          <w:rFonts w:ascii="Times New Roman" w:hAnsi="Times New Roman" w:cs="Times New Roman"/>
          <w:sz w:val="24"/>
          <w:szCs w:val="24"/>
        </w:rPr>
        <w:t>st aktywności w działalności B+R</w:t>
      </w:r>
      <w:r w:rsidR="00173526">
        <w:rPr>
          <w:rFonts w:ascii="Times New Roman" w:hAnsi="Times New Roman" w:cs="Times New Roman"/>
          <w:sz w:val="24"/>
          <w:szCs w:val="24"/>
        </w:rPr>
        <w:t xml:space="preserve">, indukowany także z sprawą korporacji </w:t>
      </w:r>
      <w:r w:rsidR="00173526">
        <w:rPr>
          <w:rFonts w:ascii="Times New Roman" w:hAnsi="Times New Roman" w:cs="Times New Roman"/>
          <w:sz w:val="24"/>
          <w:szCs w:val="24"/>
        </w:rPr>
        <w:lastRenderedPageBreak/>
        <w:t>transnarodowych</w:t>
      </w:r>
      <w:r w:rsidR="00954714" w:rsidRPr="00E36C61">
        <w:rPr>
          <w:rFonts w:ascii="Times New Roman" w:hAnsi="Times New Roman" w:cs="Times New Roman"/>
          <w:sz w:val="24"/>
          <w:szCs w:val="24"/>
        </w:rPr>
        <w:t xml:space="preserve"> (</w:t>
      </w:r>
      <w:r w:rsidR="00680282" w:rsidRPr="00173526">
        <w:rPr>
          <w:rFonts w:ascii="Times New Roman" w:hAnsi="Times New Roman" w:cs="Times New Roman"/>
          <w:sz w:val="24"/>
          <w:szCs w:val="24"/>
        </w:rPr>
        <w:t>Moncada-Paterno-Castello, Vivarelli, Voigt</w:t>
      </w:r>
      <w:r w:rsidR="00680282">
        <w:rPr>
          <w:rFonts w:ascii="Times New Roman" w:hAnsi="Times New Roman" w:cs="Times New Roman"/>
          <w:sz w:val="24"/>
          <w:szCs w:val="24"/>
        </w:rPr>
        <w:t>,</w:t>
      </w:r>
      <w:r w:rsidR="00680282" w:rsidRPr="00173526">
        <w:rPr>
          <w:rFonts w:ascii="Times New Roman" w:hAnsi="Times New Roman" w:cs="Times New Roman"/>
          <w:sz w:val="24"/>
          <w:szCs w:val="24"/>
        </w:rPr>
        <w:t xml:space="preserve"> 2011</w:t>
      </w:r>
      <w:r w:rsidR="00680282">
        <w:rPr>
          <w:rFonts w:ascii="Times New Roman" w:hAnsi="Times New Roman" w:cs="Times New Roman"/>
          <w:sz w:val="24"/>
          <w:szCs w:val="24"/>
        </w:rPr>
        <w:t>; UNCTAD, 2009, s</w:t>
      </w:r>
      <w:r w:rsidR="00680282" w:rsidRPr="00E36C61">
        <w:rPr>
          <w:rFonts w:ascii="Times New Roman" w:hAnsi="Times New Roman" w:cs="Times New Roman"/>
          <w:sz w:val="24"/>
          <w:szCs w:val="24"/>
        </w:rPr>
        <w:t xml:space="preserve">. </w:t>
      </w:r>
      <w:r w:rsidR="00680282" w:rsidRPr="00E36C61">
        <w:rPr>
          <w:rFonts w:ascii="Times New Roman" w:eastAsia="Calibri" w:hAnsi="Times New Roman" w:cs="Times New Roman"/>
          <w:sz w:val="24"/>
          <w:szCs w:val="24"/>
          <w:lang w:val="en-US"/>
        </w:rPr>
        <w:t xml:space="preserve">29-30; </w:t>
      </w:r>
      <w:r w:rsidR="00680282">
        <w:rPr>
          <w:rFonts w:ascii="Times New Roman" w:hAnsi="Times New Roman" w:cs="Times New Roman"/>
          <w:sz w:val="24"/>
          <w:szCs w:val="24"/>
          <w:lang w:val="en-US"/>
        </w:rPr>
        <w:t>OCDE,</w:t>
      </w:r>
      <w:r w:rsidR="00680282" w:rsidRPr="00E36C61">
        <w:rPr>
          <w:rFonts w:ascii="Times New Roman" w:hAnsi="Times New Roman" w:cs="Times New Roman"/>
          <w:sz w:val="24"/>
          <w:szCs w:val="24"/>
          <w:lang w:val="en-US"/>
        </w:rPr>
        <w:t xml:space="preserve"> 2007</w:t>
      </w:r>
      <w:r w:rsidR="00680282">
        <w:rPr>
          <w:rFonts w:ascii="Times New Roman" w:hAnsi="Times New Roman" w:cs="Times New Roman"/>
          <w:sz w:val="24"/>
          <w:szCs w:val="24"/>
          <w:lang w:val="en-US"/>
        </w:rPr>
        <w:t xml:space="preserve">; </w:t>
      </w:r>
      <w:r w:rsidR="00EB17E2">
        <w:rPr>
          <w:rFonts w:ascii="Times New Roman" w:hAnsi="Times New Roman" w:cs="Times New Roman"/>
          <w:sz w:val="24"/>
          <w:szCs w:val="24"/>
        </w:rPr>
        <w:t>UNCTAD, 2005b, s</w:t>
      </w:r>
      <w:r w:rsidR="00954714" w:rsidRPr="00E36C61">
        <w:rPr>
          <w:rFonts w:ascii="Times New Roman" w:hAnsi="Times New Roman" w:cs="Times New Roman"/>
          <w:sz w:val="24"/>
          <w:szCs w:val="24"/>
        </w:rPr>
        <w:t xml:space="preserve">. </w:t>
      </w:r>
      <w:r w:rsidR="00680282">
        <w:rPr>
          <w:rFonts w:ascii="Times New Roman" w:hAnsi="Times New Roman" w:cs="Times New Roman"/>
          <w:sz w:val="24"/>
          <w:szCs w:val="24"/>
          <w:lang w:val="en-US"/>
        </w:rPr>
        <w:t>97-103</w:t>
      </w:r>
      <w:r w:rsidR="00954714" w:rsidRPr="00E36C61">
        <w:rPr>
          <w:rFonts w:ascii="Times New Roman" w:eastAsia="Calibri" w:hAnsi="Times New Roman" w:cs="Times New Roman"/>
          <w:sz w:val="24"/>
          <w:szCs w:val="24"/>
          <w:lang w:val="en-US"/>
        </w:rPr>
        <w:t>)</w:t>
      </w:r>
      <w:r w:rsidR="00954714">
        <w:rPr>
          <w:rFonts w:ascii="Times New Roman" w:hAnsi="Times New Roman" w:cs="Times New Roman"/>
          <w:sz w:val="24"/>
          <w:szCs w:val="24"/>
        </w:rPr>
        <w:t>.</w:t>
      </w:r>
    </w:p>
    <w:p w:rsidR="00097AC6" w:rsidRDefault="00097AC6" w:rsidP="00E773D8">
      <w:pPr>
        <w:tabs>
          <w:tab w:val="left" w:leader="dot" w:pos="10773"/>
        </w:tabs>
        <w:ind w:left="0"/>
        <w:rPr>
          <w:rFonts w:ascii="Times New Roman" w:hAnsi="Times New Roman" w:cs="Times New Roman"/>
          <w:sz w:val="24"/>
          <w:szCs w:val="24"/>
        </w:rPr>
      </w:pPr>
    </w:p>
    <w:p w:rsidR="00E773D8" w:rsidRPr="00E773D8" w:rsidRDefault="00E773D8" w:rsidP="00E773D8">
      <w:pPr>
        <w:tabs>
          <w:tab w:val="left" w:leader="dot" w:pos="10773"/>
        </w:tabs>
        <w:ind w:left="0"/>
        <w:rPr>
          <w:rFonts w:ascii="Times New Roman" w:hAnsi="Times New Roman" w:cs="Times New Roman"/>
          <w:b/>
          <w:sz w:val="24"/>
          <w:szCs w:val="24"/>
        </w:rPr>
      </w:pPr>
      <w:r>
        <w:rPr>
          <w:rFonts w:ascii="Times New Roman" w:hAnsi="Times New Roman" w:cs="Times New Roman"/>
          <w:b/>
          <w:sz w:val="24"/>
          <w:szCs w:val="24"/>
        </w:rPr>
        <w:t>Analiza potencjału badawczo-rozwojowego</w:t>
      </w:r>
      <w:r w:rsidRPr="00E773D8">
        <w:rPr>
          <w:rFonts w:ascii="Times New Roman" w:hAnsi="Times New Roman" w:cs="Times New Roman"/>
          <w:b/>
          <w:sz w:val="24"/>
          <w:szCs w:val="24"/>
        </w:rPr>
        <w:t xml:space="preserve"> USA i Chin</w:t>
      </w:r>
      <w:r w:rsidR="000D0B7D">
        <w:rPr>
          <w:rFonts w:ascii="Times New Roman" w:hAnsi="Times New Roman" w:cs="Times New Roman"/>
          <w:b/>
          <w:sz w:val="24"/>
          <w:szCs w:val="24"/>
        </w:rPr>
        <w:t xml:space="preserve"> w ujęciu dynamicznym</w:t>
      </w:r>
    </w:p>
    <w:p w:rsidR="00E773D8" w:rsidRDefault="00835290" w:rsidP="00E773D8">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 xml:space="preserve">Jeszcze do lat. 90. XX w. na Stany Zjednoczone przypadało ponad 40% całkowitych nakładów B+R świata, jednak dynamiczny rozwój </w:t>
      </w:r>
      <w:r w:rsidR="00795E01">
        <w:rPr>
          <w:rFonts w:ascii="Times New Roman" w:hAnsi="Times New Roman" w:cs="Times New Roman"/>
          <w:sz w:val="24"/>
          <w:szCs w:val="24"/>
        </w:rPr>
        <w:t xml:space="preserve">technologiczny </w:t>
      </w:r>
      <w:r>
        <w:rPr>
          <w:rFonts w:ascii="Times New Roman" w:hAnsi="Times New Roman" w:cs="Times New Roman"/>
          <w:sz w:val="24"/>
          <w:szCs w:val="24"/>
        </w:rPr>
        <w:t>Chin od począ</w:t>
      </w:r>
      <w:r w:rsidR="007B27C0">
        <w:rPr>
          <w:rFonts w:ascii="Times New Roman" w:hAnsi="Times New Roman" w:cs="Times New Roman"/>
          <w:sz w:val="24"/>
          <w:szCs w:val="24"/>
        </w:rPr>
        <w:t>tku XXI w. spowodował, że w 2013</w:t>
      </w:r>
      <w:r>
        <w:rPr>
          <w:rFonts w:ascii="Times New Roman" w:hAnsi="Times New Roman" w:cs="Times New Roman"/>
          <w:sz w:val="24"/>
          <w:szCs w:val="24"/>
        </w:rPr>
        <w:t xml:space="preserve"> r. lider rea</w:t>
      </w:r>
      <w:r w:rsidR="007B27C0">
        <w:rPr>
          <w:rFonts w:ascii="Times New Roman" w:hAnsi="Times New Roman" w:cs="Times New Roman"/>
          <w:sz w:val="24"/>
          <w:szCs w:val="24"/>
        </w:rPr>
        <w:t>lizował ok. 29</w:t>
      </w:r>
      <w:r w:rsidR="00795E01">
        <w:rPr>
          <w:rFonts w:ascii="Times New Roman" w:hAnsi="Times New Roman" w:cs="Times New Roman"/>
          <w:sz w:val="24"/>
          <w:szCs w:val="24"/>
        </w:rPr>
        <w:t>% globalnych B+R</w:t>
      </w:r>
      <w:r w:rsidR="007B27C0">
        <w:rPr>
          <w:rFonts w:ascii="Times New Roman" w:hAnsi="Times New Roman" w:cs="Times New Roman"/>
          <w:sz w:val="24"/>
          <w:szCs w:val="24"/>
        </w:rPr>
        <w:t>, natomiast Chiny – ok. 22%</w:t>
      </w:r>
      <w:r w:rsidR="00795E01">
        <w:rPr>
          <w:rFonts w:ascii="Times New Roman" w:hAnsi="Times New Roman" w:cs="Times New Roman"/>
          <w:sz w:val="24"/>
          <w:szCs w:val="24"/>
        </w:rPr>
        <w:t>.</w:t>
      </w:r>
    </w:p>
    <w:p w:rsidR="00EB65D3" w:rsidRDefault="00795E01" w:rsidP="00795E01">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Rozpatrując kwe</w:t>
      </w:r>
      <w:r w:rsidR="00C20925">
        <w:rPr>
          <w:rFonts w:ascii="Times New Roman" w:hAnsi="Times New Roman" w:cs="Times New Roman"/>
          <w:sz w:val="24"/>
          <w:szCs w:val="24"/>
        </w:rPr>
        <w:t>stię potencjału B+R</w:t>
      </w:r>
      <w:r>
        <w:rPr>
          <w:rFonts w:ascii="Times New Roman" w:hAnsi="Times New Roman" w:cs="Times New Roman"/>
          <w:sz w:val="24"/>
          <w:szCs w:val="24"/>
        </w:rPr>
        <w:t xml:space="preserve"> skonce</w:t>
      </w:r>
      <w:r w:rsidR="00C20925">
        <w:rPr>
          <w:rFonts w:ascii="Times New Roman" w:hAnsi="Times New Roman" w:cs="Times New Roman"/>
          <w:sz w:val="24"/>
          <w:szCs w:val="24"/>
        </w:rPr>
        <w:t>ntrowano</w:t>
      </w:r>
      <w:r>
        <w:rPr>
          <w:rFonts w:ascii="Times New Roman" w:hAnsi="Times New Roman" w:cs="Times New Roman"/>
          <w:sz w:val="24"/>
          <w:szCs w:val="24"/>
        </w:rPr>
        <w:t xml:space="preserve"> się </w:t>
      </w:r>
      <w:r w:rsidR="00A55D44">
        <w:rPr>
          <w:rFonts w:ascii="Times New Roman" w:hAnsi="Times New Roman" w:cs="Times New Roman"/>
          <w:sz w:val="24"/>
          <w:szCs w:val="24"/>
        </w:rPr>
        <w:t xml:space="preserve">głównie </w:t>
      </w:r>
      <w:r>
        <w:rPr>
          <w:rFonts w:ascii="Times New Roman" w:hAnsi="Times New Roman" w:cs="Times New Roman"/>
          <w:sz w:val="24"/>
          <w:szCs w:val="24"/>
        </w:rPr>
        <w:t xml:space="preserve">na wielkościach bezwzględnych analizowanych </w:t>
      </w:r>
      <w:r w:rsidR="00786EDB">
        <w:rPr>
          <w:rFonts w:ascii="Times New Roman" w:hAnsi="Times New Roman" w:cs="Times New Roman"/>
          <w:sz w:val="24"/>
          <w:szCs w:val="24"/>
        </w:rPr>
        <w:t>mierników</w:t>
      </w:r>
      <w:r w:rsidR="00EB65D3">
        <w:rPr>
          <w:rFonts w:ascii="Times New Roman" w:hAnsi="Times New Roman" w:cs="Times New Roman"/>
          <w:sz w:val="24"/>
          <w:szCs w:val="24"/>
        </w:rPr>
        <w:t xml:space="preserve">, które pozwalają na ocenę znaczenia badanych gospodarek w układzie globalnym. Większość badanych mierników ma charakter </w:t>
      </w:r>
      <w:r w:rsidR="00EB65D3" w:rsidRPr="00EB65D3">
        <w:rPr>
          <w:rFonts w:ascii="Times New Roman" w:hAnsi="Times New Roman" w:cs="Times New Roman"/>
          <w:i/>
          <w:sz w:val="24"/>
          <w:szCs w:val="24"/>
        </w:rPr>
        <w:t>input</w:t>
      </w:r>
      <w:r w:rsidR="00EB65D3">
        <w:rPr>
          <w:rFonts w:ascii="Times New Roman" w:hAnsi="Times New Roman" w:cs="Times New Roman"/>
          <w:sz w:val="24"/>
          <w:szCs w:val="24"/>
        </w:rPr>
        <w:t xml:space="preserve">, natomiast analiza aplikacji patentowych odnosi się do mierników typu </w:t>
      </w:r>
      <w:r w:rsidR="00EB65D3" w:rsidRPr="00EB65D3">
        <w:rPr>
          <w:rFonts w:ascii="Times New Roman" w:hAnsi="Times New Roman" w:cs="Times New Roman"/>
          <w:i/>
          <w:sz w:val="24"/>
          <w:szCs w:val="24"/>
        </w:rPr>
        <w:t>output</w:t>
      </w:r>
      <w:r w:rsidR="00EB65D3">
        <w:rPr>
          <w:rFonts w:ascii="Times New Roman" w:hAnsi="Times New Roman" w:cs="Times New Roman"/>
          <w:sz w:val="24"/>
          <w:szCs w:val="24"/>
        </w:rPr>
        <w:t>.</w:t>
      </w:r>
    </w:p>
    <w:p w:rsidR="00795E01" w:rsidRDefault="00C20925" w:rsidP="00795E01">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W 2013 r. c</w:t>
      </w:r>
      <w:r w:rsidR="00795E01">
        <w:rPr>
          <w:rFonts w:ascii="Times New Roman" w:hAnsi="Times New Roman" w:cs="Times New Roman"/>
          <w:sz w:val="24"/>
          <w:szCs w:val="24"/>
        </w:rPr>
        <w:t xml:space="preserve">ałkowite nakłady </w:t>
      </w:r>
      <w:r w:rsidR="00786EDB">
        <w:rPr>
          <w:rFonts w:ascii="Times New Roman" w:hAnsi="Times New Roman" w:cs="Times New Roman"/>
          <w:sz w:val="24"/>
          <w:szCs w:val="24"/>
        </w:rPr>
        <w:t xml:space="preserve">badawczo-rozwojowe </w:t>
      </w:r>
      <w:r>
        <w:rPr>
          <w:rFonts w:ascii="Times New Roman" w:hAnsi="Times New Roman" w:cs="Times New Roman"/>
          <w:sz w:val="24"/>
          <w:szCs w:val="24"/>
        </w:rPr>
        <w:t>w USA wyniosły 457,0 mld USD, a w Chinach – 333,5 mld USD, co stanowiło ok. ¾ nakładów amerykańskich (rys. 2). Wydawać by się mogło, że kraje te nadal dzieli spora dystans, jednak biorąc po uwagę dynamikę wzrostu inwestycji B+R, wyraźnie widać, że Chiny szybko doganiają USA. W latach 2000-2013 wielkość nakładów B+R w USA wzrosła 1,7-krotnie, podczas gdy w Chinach nastąpił wzrost nieco ponad dziesięciokrotny. Ponadto Stany Zjednoczone odczuwały skutki kryzysów w 2002 r. i 2009 r., doświadczając spadków nakładów B+R, podczas gdy w Chinach odnotowano stały trend wzrostowy.</w:t>
      </w:r>
    </w:p>
    <w:p w:rsidR="00EB65D3" w:rsidRDefault="00EB65D3" w:rsidP="000474E4">
      <w:pPr>
        <w:tabs>
          <w:tab w:val="left" w:leader="dot" w:pos="10773"/>
        </w:tabs>
        <w:ind w:left="0"/>
        <w:rPr>
          <w:rFonts w:ascii="Times New Roman" w:hAnsi="Times New Roman" w:cs="Times New Roman"/>
          <w:sz w:val="24"/>
          <w:szCs w:val="24"/>
        </w:rPr>
      </w:pPr>
    </w:p>
    <w:p w:rsidR="00097AC6" w:rsidRDefault="00097AC6" w:rsidP="000474E4">
      <w:pPr>
        <w:tabs>
          <w:tab w:val="left" w:leader="dot" w:pos="10773"/>
        </w:tabs>
        <w:ind w:left="0"/>
        <w:rPr>
          <w:rFonts w:ascii="Times New Roman" w:hAnsi="Times New Roman" w:cs="Times New Roman"/>
          <w:sz w:val="24"/>
          <w:szCs w:val="24"/>
        </w:rPr>
      </w:pPr>
      <w:r>
        <w:rPr>
          <w:noProof/>
          <w:lang w:eastAsia="pl-PL"/>
        </w:rPr>
        <w:drawing>
          <wp:inline distT="0" distB="0" distL="0" distR="0" wp14:anchorId="18E1E4C6" wp14:editId="7BB8E260">
            <wp:extent cx="3600000" cy="2160000"/>
            <wp:effectExtent l="0" t="0" r="635" b="1206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7C32" w:rsidRDefault="00817C32" w:rsidP="00817C32">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Rysunek 2. Całkowite nakłady B+R (w mld USD PPP)</w:t>
      </w:r>
    </w:p>
    <w:p w:rsidR="00097AC6" w:rsidRDefault="00097AC6" w:rsidP="000474E4">
      <w:pPr>
        <w:tabs>
          <w:tab w:val="left" w:leader="dot" w:pos="10773"/>
        </w:tabs>
        <w:ind w:left="0"/>
        <w:rPr>
          <w:rFonts w:ascii="Times New Roman" w:hAnsi="Times New Roman" w:cs="Times New Roman"/>
          <w:sz w:val="20"/>
          <w:szCs w:val="20"/>
        </w:rPr>
      </w:pPr>
      <w:r w:rsidRPr="00097AC6">
        <w:rPr>
          <w:rFonts w:ascii="Times New Roman" w:hAnsi="Times New Roman" w:cs="Times New Roman"/>
          <w:sz w:val="20"/>
          <w:szCs w:val="20"/>
        </w:rPr>
        <w:t>Źródło: jak rys. 1.</w:t>
      </w:r>
    </w:p>
    <w:p w:rsidR="00EB65D3" w:rsidRDefault="00EB65D3" w:rsidP="000474E4">
      <w:pPr>
        <w:tabs>
          <w:tab w:val="left" w:leader="dot" w:pos="10773"/>
        </w:tabs>
        <w:ind w:left="0"/>
        <w:rPr>
          <w:rFonts w:ascii="Times New Roman" w:hAnsi="Times New Roman" w:cs="Times New Roman"/>
          <w:sz w:val="24"/>
          <w:szCs w:val="24"/>
        </w:rPr>
      </w:pPr>
    </w:p>
    <w:p w:rsidR="00097AC6" w:rsidRDefault="00EB65D3" w:rsidP="00EB65D3">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lastRenderedPageBreak/>
        <w:t>Zresztą analiza stopy wzrostu nakładów B+R (rys. 3) wskazuje na spektakularny wzrost na poziomie ok. 16% średniorocznie, gdy dla USA w analizowanym okresie średnioroczny wzrost wynosił zaledwie 2,2%. Pozwala to uprawdopodobnić prognozy, że już początkiem następnej dekady Chiny zajmą pozycję lidera pod względem wielkości nakładów B+R. Zgodnie z przewidywaniami Battelle</w:t>
      </w:r>
      <w:r w:rsidR="00F254B6">
        <w:rPr>
          <w:rFonts w:ascii="Times New Roman" w:hAnsi="Times New Roman" w:cs="Times New Roman"/>
          <w:sz w:val="24"/>
          <w:szCs w:val="24"/>
        </w:rPr>
        <w:t xml:space="preserve"> i </w:t>
      </w:r>
      <w:r w:rsidR="00F254B6">
        <w:rPr>
          <w:rFonts w:ascii="Times New Roman" w:hAnsi="Times New Roman"/>
          <w:sz w:val="24"/>
          <w:szCs w:val="24"/>
          <w:lang w:val="en-US"/>
        </w:rPr>
        <w:t>R&amp;D Magazine</w:t>
      </w:r>
      <w:r>
        <w:rPr>
          <w:rFonts w:ascii="Times New Roman" w:hAnsi="Times New Roman" w:cs="Times New Roman"/>
          <w:sz w:val="24"/>
          <w:szCs w:val="24"/>
        </w:rPr>
        <w:t xml:space="preserve"> (2013, s. 12-13), Chiny przejmą przywództwo w wielkości nakładów B+R już w 2022 r.</w:t>
      </w:r>
    </w:p>
    <w:p w:rsidR="00EB65D3" w:rsidRDefault="00EB65D3" w:rsidP="00EB65D3">
      <w:pPr>
        <w:tabs>
          <w:tab w:val="left" w:leader="dot" w:pos="10773"/>
        </w:tabs>
        <w:ind w:left="0"/>
        <w:rPr>
          <w:rFonts w:ascii="Times New Roman" w:hAnsi="Times New Roman" w:cs="Times New Roman"/>
          <w:sz w:val="24"/>
          <w:szCs w:val="24"/>
        </w:rPr>
      </w:pPr>
    </w:p>
    <w:p w:rsidR="00097AC6" w:rsidRPr="00097AC6" w:rsidRDefault="00097AC6" w:rsidP="000474E4">
      <w:pPr>
        <w:tabs>
          <w:tab w:val="left" w:leader="dot" w:pos="10773"/>
        </w:tabs>
        <w:ind w:left="0"/>
        <w:rPr>
          <w:rFonts w:ascii="Times New Roman" w:hAnsi="Times New Roman" w:cs="Times New Roman"/>
          <w:sz w:val="24"/>
          <w:szCs w:val="24"/>
        </w:rPr>
      </w:pPr>
    </w:p>
    <w:p w:rsidR="00097AC6" w:rsidRDefault="00097AC6" w:rsidP="000474E4">
      <w:pPr>
        <w:tabs>
          <w:tab w:val="left" w:leader="dot" w:pos="10773"/>
        </w:tabs>
        <w:ind w:left="0"/>
        <w:rPr>
          <w:rFonts w:ascii="Times New Roman" w:hAnsi="Times New Roman" w:cs="Times New Roman"/>
          <w:sz w:val="24"/>
          <w:szCs w:val="24"/>
        </w:rPr>
      </w:pPr>
      <w:r>
        <w:rPr>
          <w:noProof/>
          <w:lang w:eastAsia="pl-PL"/>
        </w:rPr>
        <w:drawing>
          <wp:inline distT="0" distB="0" distL="0" distR="0" wp14:anchorId="3C62F216" wp14:editId="531600BA">
            <wp:extent cx="3600000" cy="2160000"/>
            <wp:effectExtent l="0" t="0" r="635" b="1206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7C32" w:rsidRDefault="00817C32" w:rsidP="000474E4">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Rysunek 3. Stopa wzrostu całkowitych nakładów B+R (%)</w:t>
      </w:r>
    </w:p>
    <w:p w:rsidR="00097AC6" w:rsidRPr="00097AC6" w:rsidRDefault="00097AC6" w:rsidP="000474E4">
      <w:pPr>
        <w:tabs>
          <w:tab w:val="left" w:leader="dot" w:pos="10773"/>
        </w:tabs>
        <w:ind w:left="0"/>
        <w:rPr>
          <w:rFonts w:ascii="Times New Roman" w:hAnsi="Times New Roman" w:cs="Times New Roman"/>
          <w:sz w:val="20"/>
          <w:szCs w:val="20"/>
        </w:rPr>
      </w:pPr>
      <w:r w:rsidRPr="00097AC6">
        <w:rPr>
          <w:rFonts w:ascii="Times New Roman" w:hAnsi="Times New Roman" w:cs="Times New Roman"/>
          <w:sz w:val="20"/>
          <w:szCs w:val="20"/>
        </w:rPr>
        <w:t>Źródło: jak rys.1.</w:t>
      </w:r>
    </w:p>
    <w:p w:rsidR="00536EC7" w:rsidRDefault="00536EC7" w:rsidP="00536EC7">
      <w:pPr>
        <w:tabs>
          <w:tab w:val="left" w:leader="dot" w:pos="10773"/>
        </w:tabs>
        <w:ind w:left="0" w:firstLine="709"/>
        <w:rPr>
          <w:rFonts w:ascii="Times New Roman" w:hAnsi="Times New Roman" w:cs="Times New Roman"/>
          <w:sz w:val="24"/>
          <w:szCs w:val="24"/>
        </w:rPr>
      </w:pPr>
    </w:p>
    <w:p w:rsidR="00F62559" w:rsidRDefault="00097AC6" w:rsidP="000474E4">
      <w:pPr>
        <w:tabs>
          <w:tab w:val="left" w:leader="dot" w:pos="10773"/>
        </w:tabs>
        <w:ind w:left="0"/>
        <w:rPr>
          <w:rFonts w:ascii="Times New Roman" w:hAnsi="Times New Roman" w:cs="Times New Roman"/>
          <w:sz w:val="24"/>
          <w:szCs w:val="24"/>
        </w:rPr>
      </w:pPr>
      <w:r>
        <w:rPr>
          <w:noProof/>
          <w:lang w:eastAsia="pl-PL"/>
        </w:rPr>
        <w:drawing>
          <wp:inline distT="0" distB="0" distL="0" distR="0" wp14:anchorId="3DE43035" wp14:editId="1A56D380">
            <wp:extent cx="3600000" cy="2160000"/>
            <wp:effectExtent l="0" t="0" r="635" b="1206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7C32" w:rsidRDefault="00817C32" w:rsidP="00817C32">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Rysunek 4. Całkowite nakłady B+R jako % PKB</w:t>
      </w:r>
    </w:p>
    <w:p w:rsidR="00097AC6" w:rsidRPr="00097AC6" w:rsidRDefault="00097AC6" w:rsidP="000474E4">
      <w:pPr>
        <w:tabs>
          <w:tab w:val="left" w:leader="dot" w:pos="10773"/>
        </w:tabs>
        <w:ind w:left="0"/>
        <w:rPr>
          <w:rFonts w:ascii="Times New Roman" w:hAnsi="Times New Roman" w:cs="Times New Roman"/>
          <w:sz w:val="20"/>
          <w:szCs w:val="20"/>
        </w:rPr>
      </w:pPr>
      <w:r w:rsidRPr="00097AC6">
        <w:rPr>
          <w:rFonts w:ascii="Times New Roman" w:hAnsi="Times New Roman" w:cs="Times New Roman"/>
          <w:sz w:val="20"/>
          <w:szCs w:val="20"/>
        </w:rPr>
        <w:t>Źródło: jak rys 1.</w:t>
      </w:r>
    </w:p>
    <w:p w:rsidR="00097AC6" w:rsidRDefault="00097AC6" w:rsidP="000474E4">
      <w:pPr>
        <w:tabs>
          <w:tab w:val="left" w:leader="dot" w:pos="10773"/>
        </w:tabs>
        <w:ind w:left="0"/>
        <w:rPr>
          <w:rFonts w:ascii="Times New Roman" w:hAnsi="Times New Roman" w:cs="Times New Roman"/>
          <w:sz w:val="24"/>
          <w:szCs w:val="24"/>
        </w:rPr>
      </w:pPr>
    </w:p>
    <w:p w:rsidR="00EB65D3" w:rsidRDefault="00EB65D3" w:rsidP="00EB65D3">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 xml:space="preserve">Pewnego rodzaju stagnacja w amerykańskiej działalności B+R widoczna jest także w przypadku wskaźnika nakładów badawczo-rozwojowych w odniesieniu do PKB (rys. 4). W Stanach Zjednoczonych wprawdzie wskaźnik ten jest wyższy niż w Chinach i prezentował się </w:t>
      </w:r>
      <w:r>
        <w:rPr>
          <w:rFonts w:ascii="Times New Roman" w:hAnsi="Times New Roman" w:cs="Times New Roman"/>
          <w:sz w:val="24"/>
          <w:szCs w:val="24"/>
        </w:rPr>
        <w:lastRenderedPageBreak/>
        <w:t>w latach 2000-2013 w granicach 2,5-2,8%, to jednak nie widać trendu wzrostowego. Natomiast chińskie nakłady B+R systematycznie zwiększały swój udział w PKB (od 0,9 do 2,0%), co świadczy o dynamice wzrostu nakładów B+R systematycznie przewyższającej wzrost gospodarczy w kraju.</w:t>
      </w:r>
    </w:p>
    <w:p w:rsidR="00EB31CB" w:rsidRDefault="00EB31CB" w:rsidP="0055612A">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Rozważając strukturę realizowanych badań, trzeba wskazać, że zarówno w USA, jak i w Chinach dominującą rolę odgrywają badania rozwojowe (rys. 5), co z pewnością stanowi ważny czynnik sukcesów obydwu gospodarek z uwagi na łatwość w komercjalizacji tego rodzaju wiedzy. W USA udział badań rozwojowych wynosił nieco ponad 60%, natomiast w Chinach zwiększał się z ok. 78% (2000) do ok. 85% (2013). W przypadku badań stosowanych w Stanach Zjednoczonych stanowią one ok. 20%, podczas gdy w Chinach ich udział zmniejszył się z ok. 16% w 2000 r. i 2006 r. do ok. 10% w 2013 r. Z kolei badania podstawowe stanowią ok. 17% badań w USA, a jedynie ok. 5% w Chinach. Tak ukształtowana struktura tworzenia wiedzy świadczy o silnej orientacji chińskich badań na ich komercjalizację, ale także o słabości chińskiego sytemu działalności badawczo-rozwojowej w zakresie badań podstawowych. Chiny bowiem długo postrzegane były jako gospodarka imitująca wiedzę i bazująca na jej zakupie. Dopiero od niedawna wskazuje się na proces budowania potencjału tworzenia nowej wiedzy</w:t>
      </w:r>
      <w:r w:rsidR="00DF2740">
        <w:rPr>
          <w:rFonts w:ascii="Times New Roman" w:hAnsi="Times New Roman" w:cs="Times New Roman"/>
          <w:sz w:val="24"/>
          <w:szCs w:val="24"/>
        </w:rPr>
        <w:t xml:space="preserve"> w Chinach (</w:t>
      </w:r>
      <w:r w:rsidR="00680282">
        <w:rPr>
          <w:rFonts w:ascii="Times New Roman" w:hAnsi="Times New Roman" w:cs="Times New Roman"/>
          <w:sz w:val="24"/>
          <w:szCs w:val="24"/>
        </w:rPr>
        <w:t xml:space="preserve">Huang, Sharif, </w:t>
      </w:r>
      <w:r w:rsidR="00680282" w:rsidRPr="00DD7B39">
        <w:rPr>
          <w:rFonts w:ascii="Times New Roman" w:hAnsi="Times New Roman" w:cs="Times New Roman"/>
          <w:sz w:val="24"/>
          <w:szCs w:val="24"/>
        </w:rPr>
        <w:t>2015</w:t>
      </w:r>
      <w:r w:rsidR="00680282">
        <w:rPr>
          <w:rFonts w:ascii="Times New Roman" w:hAnsi="Times New Roman" w:cs="Times New Roman"/>
          <w:sz w:val="24"/>
          <w:szCs w:val="24"/>
        </w:rPr>
        <w:t xml:space="preserve">; Morrison, </w:t>
      </w:r>
      <w:r w:rsidR="00680282" w:rsidRPr="00DD7B39">
        <w:rPr>
          <w:rFonts w:ascii="Times New Roman" w:hAnsi="Times New Roman" w:cs="Times New Roman"/>
          <w:sz w:val="24"/>
          <w:szCs w:val="24"/>
        </w:rPr>
        <w:t>2014</w:t>
      </w:r>
      <w:r w:rsidR="00680282">
        <w:rPr>
          <w:rFonts w:ascii="Times New Roman" w:hAnsi="Times New Roman" w:cs="Times New Roman"/>
          <w:sz w:val="24"/>
          <w:szCs w:val="24"/>
        </w:rPr>
        <w:t xml:space="preserve">; </w:t>
      </w:r>
      <w:r w:rsidR="000E7922" w:rsidRPr="000E7922">
        <w:rPr>
          <w:rFonts w:ascii="Times New Roman" w:hAnsi="Times New Roman" w:cs="Times New Roman"/>
          <w:sz w:val="24"/>
          <w:szCs w:val="24"/>
        </w:rPr>
        <w:t>Di Minin, Zhang</w:t>
      </w:r>
      <w:r w:rsidR="000E7922">
        <w:rPr>
          <w:rFonts w:ascii="Times New Roman" w:hAnsi="Times New Roman" w:cs="Times New Roman"/>
          <w:sz w:val="24"/>
          <w:szCs w:val="24"/>
        </w:rPr>
        <w:t>,</w:t>
      </w:r>
      <w:r w:rsidR="000E7922" w:rsidRPr="000E7922">
        <w:rPr>
          <w:rFonts w:ascii="Times New Roman" w:hAnsi="Times New Roman" w:cs="Times New Roman"/>
          <w:sz w:val="24"/>
          <w:szCs w:val="24"/>
        </w:rPr>
        <w:t xml:space="preserve"> Gammeltoft</w:t>
      </w:r>
      <w:r w:rsidR="000E7922">
        <w:rPr>
          <w:rFonts w:ascii="Times New Roman" w:hAnsi="Times New Roman" w:cs="Times New Roman"/>
          <w:sz w:val="24"/>
          <w:szCs w:val="24"/>
        </w:rPr>
        <w:t>,</w:t>
      </w:r>
      <w:r w:rsidR="000E7922" w:rsidRPr="000E7922">
        <w:rPr>
          <w:rFonts w:ascii="Times New Roman" w:hAnsi="Times New Roman" w:cs="Times New Roman"/>
          <w:sz w:val="24"/>
          <w:szCs w:val="24"/>
        </w:rPr>
        <w:t xml:space="preserve"> 2012</w:t>
      </w:r>
      <w:r w:rsidR="00680282">
        <w:rPr>
          <w:rFonts w:ascii="Times New Roman" w:hAnsi="Times New Roman" w:cs="Times New Roman"/>
          <w:sz w:val="24"/>
          <w:szCs w:val="24"/>
        </w:rPr>
        <w:t>, s. 190-191</w:t>
      </w:r>
      <w:r w:rsidR="00DF2740">
        <w:rPr>
          <w:rFonts w:ascii="Times New Roman" w:hAnsi="Times New Roman" w:cs="Times New Roman"/>
          <w:sz w:val="24"/>
          <w:szCs w:val="24"/>
        </w:rPr>
        <w:t>)</w:t>
      </w:r>
      <w:r>
        <w:rPr>
          <w:rFonts w:ascii="Times New Roman" w:hAnsi="Times New Roman" w:cs="Times New Roman"/>
          <w:sz w:val="24"/>
          <w:szCs w:val="24"/>
        </w:rPr>
        <w:t>. Jakkolwiek proces ten postępuje, to można stwierdzić, że chińska działalność B+R cechuje się swoistą specjalizacją w komercjalizacji wiedzy. Natomiast USA z badaniami podstawowymi szacowanymi na ponad 80 mld USD w 2013 r. są globalnym liderem w</w:t>
      </w:r>
      <w:r w:rsidR="0055612A">
        <w:rPr>
          <w:rFonts w:ascii="Times New Roman" w:hAnsi="Times New Roman" w:cs="Times New Roman"/>
          <w:sz w:val="24"/>
          <w:szCs w:val="24"/>
        </w:rPr>
        <w:t xml:space="preserve"> badaniach podstawowych</w:t>
      </w:r>
      <w:r w:rsidR="00DF2740">
        <w:rPr>
          <w:rFonts w:ascii="Times New Roman" w:hAnsi="Times New Roman" w:cs="Times New Roman"/>
          <w:sz w:val="24"/>
          <w:szCs w:val="24"/>
        </w:rPr>
        <w:t xml:space="preserve"> i zapewne sytuacja nie zmieni się w najbliższych latach</w:t>
      </w:r>
      <w:r w:rsidR="0055612A">
        <w:rPr>
          <w:rFonts w:ascii="Times New Roman" w:hAnsi="Times New Roman" w:cs="Times New Roman"/>
          <w:sz w:val="24"/>
          <w:szCs w:val="24"/>
        </w:rPr>
        <w:t>.</w:t>
      </w:r>
    </w:p>
    <w:p w:rsidR="00117D38" w:rsidRPr="00117D38" w:rsidRDefault="00117D38" w:rsidP="000474E4">
      <w:pPr>
        <w:tabs>
          <w:tab w:val="left" w:leader="dot" w:pos="10773"/>
        </w:tabs>
        <w:ind w:left="0"/>
        <w:rPr>
          <w:rFonts w:ascii="Times New Roman" w:hAnsi="Times New Roman" w:cs="Times New Roman"/>
          <w:sz w:val="24"/>
          <w:szCs w:val="24"/>
        </w:rPr>
      </w:pPr>
    </w:p>
    <w:p w:rsidR="00097AC6" w:rsidRPr="00097AC6" w:rsidRDefault="00097AC6" w:rsidP="000474E4">
      <w:pPr>
        <w:tabs>
          <w:tab w:val="left" w:leader="dot" w:pos="10773"/>
        </w:tabs>
        <w:ind w:left="0"/>
        <w:rPr>
          <w:rFonts w:ascii="Times New Roman" w:hAnsi="Times New Roman" w:cs="Times New Roman"/>
          <w:sz w:val="24"/>
          <w:szCs w:val="24"/>
        </w:rPr>
      </w:pPr>
      <w:r>
        <w:rPr>
          <w:noProof/>
          <w:lang w:eastAsia="pl-PL"/>
        </w:rPr>
        <w:drawing>
          <wp:inline distT="0" distB="0" distL="0" distR="0" wp14:anchorId="45505298" wp14:editId="4B9052B3">
            <wp:extent cx="3600000" cy="2160000"/>
            <wp:effectExtent l="0" t="0" r="635" b="1206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7C32" w:rsidRDefault="00817C32" w:rsidP="000474E4">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Rysunek</w:t>
      </w:r>
      <w:r w:rsidRPr="00117D38">
        <w:rPr>
          <w:rFonts w:ascii="Times New Roman" w:hAnsi="Times New Roman" w:cs="Times New Roman"/>
          <w:sz w:val="24"/>
          <w:szCs w:val="24"/>
        </w:rPr>
        <w:t xml:space="preserve"> 5. Struktura realizowanych badań (%)</w:t>
      </w:r>
    </w:p>
    <w:p w:rsidR="00097AC6" w:rsidRDefault="00097AC6" w:rsidP="000474E4">
      <w:pPr>
        <w:tabs>
          <w:tab w:val="left" w:leader="dot" w:pos="10773"/>
        </w:tabs>
        <w:ind w:left="0"/>
        <w:rPr>
          <w:rFonts w:ascii="Times New Roman" w:hAnsi="Times New Roman" w:cs="Times New Roman"/>
          <w:sz w:val="20"/>
          <w:szCs w:val="20"/>
        </w:rPr>
      </w:pPr>
      <w:r w:rsidRPr="00097AC6">
        <w:rPr>
          <w:rFonts w:ascii="Times New Roman" w:hAnsi="Times New Roman" w:cs="Times New Roman"/>
          <w:sz w:val="20"/>
          <w:szCs w:val="20"/>
        </w:rPr>
        <w:t>Źródło: jak rys. 1.</w:t>
      </w:r>
    </w:p>
    <w:p w:rsidR="009E69A1" w:rsidRPr="00097AC6" w:rsidRDefault="009E69A1" w:rsidP="000474E4">
      <w:pPr>
        <w:tabs>
          <w:tab w:val="left" w:leader="dot" w:pos="10773"/>
        </w:tabs>
        <w:ind w:left="0"/>
        <w:rPr>
          <w:rFonts w:ascii="Times New Roman" w:hAnsi="Times New Roman" w:cs="Times New Roman"/>
          <w:sz w:val="20"/>
          <w:szCs w:val="20"/>
        </w:rPr>
      </w:pPr>
    </w:p>
    <w:p w:rsidR="006716FB" w:rsidRDefault="00DF2740" w:rsidP="009E69A1">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lastRenderedPageBreak/>
        <w:t>Wyjaśnieniu powyższych konstata</w:t>
      </w:r>
      <w:r w:rsidR="006716FB">
        <w:rPr>
          <w:rFonts w:ascii="Times New Roman" w:hAnsi="Times New Roman" w:cs="Times New Roman"/>
          <w:sz w:val="24"/>
          <w:szCs w:val="24"/>
        </w:rPr>
        <w:t>cji posłużyć może struk</w:t>
      </w:r>
      <w:r w:rsidR="00C83CE7">
        <w:rPr>
          <w:rFonts w:ascii="Times New Roman" w:hAnsi="Times New Roman" w:cs="Times New Roman"/>
          <w:sz w:val="24"/>
          <w:szCs w:val="24"/>
        </w:rPr>
        <w:t xml:space="preserve">tura podmiotów finansujących i </w:t>
      </w:r>
      <w:r w:rsidR="006716FB">
        <w:rPr>
          <w:rFonts w:ascii="Times New Roman" w:hAnsi="Times New Roman" w:cs="Times New Roman"/>
          <w:sz w:val="24"/>
          <w:szCs w:val="24"/>
        </w:rPr>
        <w:t xml:space="preserve">realizujących działalność B+R (rys. 6 i 7). </w:t>
      </w:r>
      <w:r w:rsidR="00C83CE7">
        <w:rPr>
          <w:rFonts w:ascii="Times New Roman" w:hAnsi="Times New Roman" w:cs="Times New Roman"/>
          <w:sz w:val="24"/>
          <w:szCs w:val="24"/>
        </w:rPr>
        <w:t>W obydwu krajach głównym podmiotem finansującym i realizującym nakłady B+R jest sfera biznesu. Tym niemniej zauważyć można, że w Chinach znaczenie przedsiębiorstw systematycznie wzrastało w latach 2000-2013, podczas gdy w USA widoczny jest proces spadku udziału biznesu w B+R, co należy uznać za niekorzystną tendencję. W kwestii finansowania B+R, udział biznesu w USA zmniejszył się z 69% (2000) do 61% (2013), przy zaangażowaniu rządu na poziomie ok. 28% (2013) i pojawieniu się zagranicznych źródeł finansowania w 2013 r. Natomiast w Chinach finansowanie B+R prze</w:t>
      </w:r>
      <w:r>
        <w:rPr>
          <w:rFonts w:ascii="Times New Roman" w:hAnsi="Times New Roman" w:cs="Times New Roman"/>
          <w:sz w:val="24"/>
          <w:szCs w:val="24"/>
        </w:rPr>
        <w:t>z</w:t>
      </w:r>
      <w:r w:rsidR="00C83CE7">
        <w:rPr>
          <w:rFonts w:ascii="Times New Roman" w:hAnsi="Times New Roman" w:cs="Times New Roman"/>
          <w:sz w:val="24"/>
          <w:szCs w:val="24"/>
        </w:rPr>
        <w:t xml:space="preserve"> przedsiębiorstwa wzrastało z 58% (2000) do 75% (2013) przy znaczącym ograniczeniu zaangażowania rządowego (z 33% w 2000 r. do 21% w 2013 r.). Z kolei w kwestii realizacji nakładów B+R w USA </w:t>
      </w:r>
      <w:r w:rsidR="006164AB">
        <w:rPr>
          <w:rFonts w:ascii="Times New Roman" w:hAnsi="Times New Roman" w:cs="Times New Roman"/>
          <w:sz w:val="24"/>
          <w:szCs w:val="24"/>
        </w:rPr>
        <w:t>nastąpił spadek zaangażowania biznesu odpowiednio z 75% (2000) do 71% (2013), któremu towarzyszył wzrost udziału ucze</w:t>
      </w:r>
      <w:r w:rsidR="001E70F7">
        <w:rPr>
          <w:rFonts w:ascii="Times New Roman" w:hAnsi="Times New Roman" w:cs="Times New Roman"/>
          <w:sz w:val="24"/>
          <w:szCs w:val="24"/>
        </w:rPr>
        <w:t>lni wyższych (z 11% do 14%). W</w:t>
      </w:r>
      <w:r w:rsidR="006164AB">
        <w:rPr>
          <w:rFonts w:ascii="Times New Roman" w:hAnsi="Times New Roman" w:cs="Times New Roman"/>
          <w:sz w:val="24"/>
          <w:szCs w:val="24"/>
        </w:rPr>
        <w:t xml:space="preserve"> Chinach pozycja biznesu wzrosła z 60% (2000) do 77% (2013), przy wyraźnym ograniczeniu udziału instytucji rządowych z 31% (2000) do 16 % (2013). Relatywnie niewielki jest udział uczelni wyższych w realizacji B+R w Chinach (na poziomie 7% w 2013 r.), a także nie występują w ogóle organizacje typu non profit zajmujące się</w:t>
      </w:r>
      <w:r w:rsidR="007F7E91">
        <w:rPr>
          <w:rFonts w:ascii="Times New Roman" w:hAnsi="Times New Roman" w:cs="Times New Roman"/>
          <w:sz w:val="24"/>
          <w:szCs w:val="24"/>
        </w:rPr>
        <w:t xml:space="preserve"> wykonywaniem działalności B+R, podczas gdy w USA tego typu podmioty realizowały ok. 4% nakładów w 2013 r. </w:t>
      </w:r>
      <w:r w:rsidR="00D2367C">
        <w:rPr>
          <w:rFonts w:ascii="Times New Roman" w:hAnsi="Times New Roman" w:cs="Times New Roman"/>
          <w:sz w:val="24"/>
          <w:szCs w:val="24"/>
        </w:rPr>
        <w:t>Taka struktura finansowania i realizacji ukazuje silne i wzrastające oparcie chińskich B+R na sferze biznesu, wspieranego także przez badania realizowane przez uczelnie, gdyż w Chinach te podmioty koncentrują się przede wszystkim na badaniach stosowanych i rozwojowych, które stanowią ponad 60% wartości B+R uczelni (</w:t>
      </w:r>
      <w:r w:rsidR="004D19D2">
        <w:rPr>
          <w:rFonts w:ascii="Times New Roman" w:hAnsi="Times New Roman" w:cs="Times New Roman"/>
          <w:sz w:val="24"/>
          <w:szCs w:val="24"/>
        </w:rPr>
        <w:t>Autor</w:t>
      </w:r>
      <w:r w:rsidR="00D2367C">
        <w:rPr>
          <w:rFonts w:ascii="Times New Roman" w:hAnsi="Times New Roman" w:cs="Times New Roman"/>
          <w:sz w:val="24"/>
          <w:szCs w:val="24"/>
        </w:rPr>
        <w:t>). Stwarza to dodatkowy bodziec do ukierunkowania Chin na komercjalizację wiedzy.</w:t>
      </w:r>
    </w:p>
    <w:p w:rsidR="00437A59" w:rsidRDefault="00437A59" w:rsidP="00437A59">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Zresztą trudno przecenić zaangażowanie biznesu w działalność B+R, gdyż inwestuje</w:t>
      </w:r>
      <w:r w:rsidRPr="00117D38">
        <w:rPr>
          <w:rFonts w:ascii="Times New Roman" w:hAnsi="Times New Roman" w:cs="Times New Roman"/>
          <w:sz w:val="24"/>
          <w:szCs w:val="24"/>
        </w:rPr>
        <w:t xml:space="preserve"> przede wszystkim w badania rozwojowe i stosowane, dążąc do jak najszybszej ich komercjalizacji w celu poprawy swojej pozycji konkurencyjnej na rynku. Implementacja nowej wiedzy w gospodarkę przynosi korzyści nie tylko przedsiębiorstwu, które ją stworzyło, ale poprzez efekty synergiczne także innym firmo</w:t>
      </w:r>
      <w:r>
        <w:rPr>
          <w:rFonts w:ascii="Times New Roman" w:hAnsi="Times New Roman" w:cs="Times New Roman"/>
          <w:sz w:val="24"/>
          <w:szCs w:val="24"/>
        </w:rPr>
        <w:t>m oraz gospodarce jako całości (</w:t>
      </w:r>
      <w:r w:rsidRPr="00117D38">
        <w:rPr>
          <w:rFonts w:ascii="Times New Roman" w:hAnsi="Times New Roman" w:cs="Times New Roman"/>
          <w:sz w:val="24"/>
          <w:szCs w:val="24"/>
        </w:rPr>
        <w:t>European Commission</w:t>
      </w:r>
      <w:r>
        <w:rPr>
          <w:rFonts w:ascii="Times New Roman" w:hAnsi="Times New Roman" w:cs="Times New Roman"/>
          <w:sz w:val="24"/>
          <w:szCs w:val="24"/>
        </w:rPr>
        <w:t xml:space="preserve">, 2011; </w:t>
      </w:r>
      <w:r w:rsidRPr="00117D38">
        <w:rPr>
          <w:rFonts w:ascii="Times New Roman" w:hAnsi="Times New Roman" w:cs="Times New Roman"/>
          <w:sz w:val="24"/>
          <w:szCs w:val="24"/>
        </w:rPr>
        <w:t>2012; UNCTAD</w:t>
      </w:r>
      <w:r>
        <w:rPr>
          <w:rFonts w:ascii="Times New Roman" w:hAnsi="Times New Roman" w:cs="Times New Roman"/>
          <w:sz w:val="24"/>
          <w:szCs w:val="24"/>
        </w:rPr>
        <w:t>, 2011)</w:t>
      </w:r>
      <w:r w:rsidRPr="00117D38">
        <w:rPr>
          <w:rFonts w:ascii="Times New Roman" w:hAnsi="Times New Roman" w:cs="Times New Roman"/>
          <w:sz w:val="24"/>
          <w:szCs w:val="24"/>
        </w:rPr>
        <w:t xml:space="preserve">. Dlatego efekty nakładów badawczo-rozwojowych sfery biznesu wydają się być efektywniejsze i skuteczniejsze aniżeli realizowane przez podmioty publiczne, chociaż finansowanie ze środków publicznych jest niezbędne w każdej gospodarce choćby </w:t>
      </w:r>
      <w:r>
        <w:rPr>
          <w:rFonts w:ascii="Times New Roman" w:hAnsi="Times New Roman" w:cs="Times New Roman"/>
          <w:sz w:val="24"/>
          <w:szCs w:val="24"/>
        </w:rPr>
        <w:t xml:space="preserve">z uwagi </w:t>
      </w:r>
      <w:r w:rsidRPr="00117D38">
        <w:rPr>
          <w:rFonts w:ascii="Times New Roman" w:hAnsi="Times New Roman" w:cs="Times New Roman"/>
          <w:sz w:val="24"/>
          <w:szCs w:val="24"/>
        </w:rPr>
        <w:t>na rozwój badań podstawowych, w które, ze względu na ich charakter, przedsiębiorstwa raczej niechętnie się angażują, czy też szkolnictwo wyższe, które zapewnia rozwój kapitału ludzkiego</w:t>
      </w:r>
      <w:r>
        <w:rPr>
          <w:rFonts w:ascii="Times New Roman" w:hAnsi="Times New Roman" w:cs="Times New Roman"/>
          <w:sz w:val="24"/>
          <w:szCs w:val="24"/>
        </w:rPr>
        <w:t xml:space="preserve"> (</w:t>
      </w:r>
      <w:r w:rsidR="004D19D2">
        <w:rPr>
          <w:rFonts w:ascii="Times New Roman" w:hAnsi="Times New Roman" w:cs="Times New Roman"/>
          <w:sz w:val="24"/>
          <w:szCs w:val="24"/>
        </w:rPr>
        <w:t>Autor</w:t>
      </w:r>
      <w:r>
        <w:rPr>
          <w:rFonts w:ascii="Times New Roman" w:hAnsi="Times New Roman" w:cs="Times New Roman"/>
          <w:sz w:val="24"/>
          <w:szCs w:val="24"/>
        </w:rPr>
        <w:t>, s. 46-47).</w:t>
      </w:r>
    </w:p>
    <w:p w:rsidR="00437A59" w:rsidRDefault="00437A59" w:rsidP="009E69A1">
      <w:pPr>
        <w:tabs>
          <w:tab w:val="left" w:leader="dot" w:pos="10773"/>
        </w:tabs>
        <w:ind w:left="0"/>
        <w:rPr>
          <w:rFonts w:ascii="Times New Roman" w:hAnsi="Times New Roman" w:cs="Times New Roman"/>
          <w:sz w:val="24"/>
          <w:szCs w:val="24"/>
        </w:rPr>
      </w:pPr>
    </w:p>
    <w:p w:rsidR="00097AC6" w:rsidRDefault="00097AC6" w:rsidP="000474E4">
      <w:pPr>
        <w:tabs>
          <w:tab w:val="left" w:leader="dot" w:pos="10773"/>
        </w:tabs>
        <w:ind w:left="0"/>
        <w:rPr>
          <w:rFonts w:ascii="Times New Roman" w:hAnsi="Times New Roman" w:cs="Times New Roman"/>
          <w:sz w:val="20"/>
          <w:szCs w:val="20"/>
        </w:rPr>
      </w:pPr>
      <w:r>
        <w:rPr>
          <w:noProof/>
          <w:lang w:eastAsia="pl-PL"/>
        </w:rPr>
        <w:lastRenderedPageBreak/>
        <w:drawing>
          <wp:inline distT="0" distB="0" distL="0" distR="0" wp14:anchorId="0ECAFFE7" wp14:editId="0D7985C8">
            <wp:extent cx="3600000" cy="2160000"/>
            <wp:effectExtent l="0" t="0" r="635" b="1206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7C32" w:rsidRPr="00097AC6" w:rsidRDefault="00817C32" w:rsidP="00817C32">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Rysunek 6. Podmioty finansujące B+R (%)</w:t>
      </w:r>
    </w:p>
    <w:p w:rsidR="00097AC6" w:rsidRDefault="00B36AC9" w:rsidP="000474E4">
      <w:pPr>
        <w:tabs>
          <w:tab w:val="left" w:leader="dot" w:pos="10773"/>
        </w:tabs>
        <w:ind w:left="0"/>
        <w:rPr>
          <w:rFonts w:ascii="Times New Roman" w:hAnsi="Times New Roman" w:cs="Times New Roman"/>
          <w:sz w:val="20"/>
          <w:szCs w:val="20"/>
        </w:rPr>
      </w:pPr>
      <w:r>
        <w:rPr>
          <w:rFonts w:ascii="Times New Roman" w:hAnsi="Times New Roman" w:cs="Times New Roman"/>
          <w:sz w:val="20"/>
          <w:szCs w:val="20"/>
        </w:rPr>
        <w:t>Źródło: jak rys. 1.</w:t>
      </w:r>
    </w:p>
    <w:p w:rsidR="00097AC6" w:rsidRDefault="00097AC6" w:rsidP="000474E4">
      <w:pPr>
        <w:tabs>
          <w:tab w:val="left" w:leader="dot" w:pos="10773"/>
        </w:tabs>
        <w:ind w:left="0"/>
        <w:rPr>
          <w:rFonts w:ascii="Times New Roman" w:hAnsi="Times New Roman" w:cs="Times New Roman"/>
          <w:sz w:val="20"/>
          <w:szCs w:val="20"/>
        </w:rPr>
      </w:pPr>
    </w:p>
    <w:p w:rsidR="00097AC6" w:rsidRPr="00097AC6" w:rsidRDefault="00097AC6" w:rsidP="000474E4">
      <w:pPr>
        <w:tabs>
          <w:tab w:val="left" w:leader="dot" w:pos="10773"/>
        </w:tabs>
        <w:ind w:left="0"/>
        <w:rPr>
          <w:rFonts w:ascii="Times New Roman" w:hAnsi="Times New Roman" w:cs="Times New Roman"/>
          <w:sz w:val="24"/>
          <w:szCs w:val="24"/>
        </w:rPr>
      </w:pPr>
      <w:r>
        <w:rPr>
          <w:noProof/>
          <w:lang w:eastAsia="pl-PL"/>
        </w:rPr>
        <w:drawing>
          <wp:inline distT="0" distB="0" distL="0" distR="0" wp14:anchorId="515F37B0" wp14:editId="1D9D8C2C">
            <wp:extent cx="3600000" cy="2160000"/>
            <wp:effectExtent l="0" t="0" r="635" b="1206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7C32" w:rsidRPr="00097AC6" w:rsidRDefault="00817C32" w:rsidP="00817C32">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Rysunek 7. Podmioty realizujące nakłady B+R (%)</w:t>
      </w:r>
    </w:p>
    <w:p w:rsidR="00097AC6" w:rsidRPr="00437A59" w:rsidRDefault="00097AC6" w:rsidP="000474E4">
      <w:pPr>
        <w:tabs>
          <w:tab w:val="left" w:leader="dot" w:pos="10773"/>
        </w:tabs>
        <w:ind w:left="0"/>
        <w:rPr>
          <w:rFonts w:ascii="Times New Roman" w:hAnsi="Times New Roman" w:cs="Times New Roman"/>
          <w:sz w:val="20"/>
          <w:szCs w:val="20"/>
        </w:rPr>
      </w:pPr>
      <w:r w:rsidRPr="00437A59">
        <w:rPr>
          <w:rFonts w:ascii="Times New Roman" w:hAnsi="Times New Roman" w:cs="Times New Roman"/>
          <w:sz w:val="20"/>
          <w:szCs w:val="20"/>
        </w:rPr>
        <w:t>Źródło: jak rys. 1.</w:t>
      </w:r>
    </w:p>
    <w:p w:rsidR="000D0B7D" w:rsidRDefault="000D0B7D" w:rsidP="000D0B7D">
      <w:pPr>
        <w:tabs>
          <w:tab w:val="left" w:leader="dot" w:pos="10773"/>
        </w:tabs>
        <w:ind w:left="0"/>
        <w:rPr>
          <w:rFonts w:ascii="Times New Roman" w:hAnsi="Times New Roman" w:cs="Times New Roman"/>
          <w:sz w:val="24"/>
          <w:szCs w:val="24"/>
        </w:rPr>
      </w:pPr>
    </w:p>
    <w:p w:rsidR="000D0B7D" w:rsidRDefault="007C6DBF" w:rsidP="000D0B7D">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Potencjał działalności</w:t>
      </w:r>
      <w:r w:rsidR="000857CA">
        <w:rPr>
          <w:rFonts w:ascii="Times New Roman" w:hAnsi="Times New Roman" w:cs="Times New Roman"/>
          <w:sz w:val="24"/>
          <w:szCs w:val="24"/>
        </w:rPr>
        <w:t xml:space="preserve"> badawczo-rozwojow</w:t>
      </w:r>
      <w:r>
        <w:rPr>
          <w:rFonts w:ascii="Times New Roman" w:hAnsi="Times New Roman" w:cs="Times New Roman"/>
          <w:sz w:val="24"/>
          <w:szCs w:val="24"/>
        </w:rPr>
        <w:t>ej jest ściśle związany z dostępem do wysoko wykwalifikowanych kadr</w:t>
      </w:r>
      <w:r w:rsidR="00EB65D3">
        <w:rPr>
          <w:rFonts w:ascii="Times New Roman" w:hAnsi="Times New Roman" w:cs="Times New Roman"/>
          <w:sz w:val="24"/>
          <w:szCs w:val="24"/>
        </w:rPr>
        <w:t xml:space="preserve"> i talentów</w:t>
      </w:r>
      <w:r>
        <w:rPr>
          <w:rFonts w:ascii="Times New Roman" w:hAnsi="Times New Roman" w:cs="Times New Roman"/>
          <w:sz w:val="24"/>
          <w:szCs w:val="24"/>
        </w:rPr>
        <w:t>. Analizując liczbę badaczy (rys. 8) można wskazać na niewielką przewagę Chin, gdzie liczba badaczy wzrosła ponad dwukrotnie z 0,7 mln w 2000 r. do 1,5 mln w 2013 r. i od 2005 r. przewyższa</w:t>
      </w:r>
      <w:r w:rsidR="00C11E19">
        <w:rPr>
          <w:rFonts w:ascii="Times New Roman" w:hAnsi="Times New Roman" w:cs="Times New Roman"/>
          <w:sz w:val="24"/>
          <w:szCs w:val="24"/>
        </w:rPr>
        <w:t>ła</w:t>
      </w:r>
      <w:r>
        <w:rPr>
          <w:rFonts w:ascii="Times New Roman" w:hAnsi="Times New Roman" w:cs="Times New Roman"/>
          <w:sz w:val="24"/>
          <w:szCs w:val="24"/>
        </w:rPr>
        <w:t xml:space="preserve"> liczbę badaczy w USA (za wyjątkiem 2009 r.). W USA także zaobserwować można niewielki wz</w:t>
      </w:r>
      <w:r w:rsidR="00EB31CB">
        <w:rPr>
          <w:rFonts w:ascii="Times New Roman" w:hAnsi="Times New Roman" w:cs="Times New Roman"/>
          <w:sz w:val="24"/>
          <w:szCs w:val="24"/>
        </w:rPr>
        <w:t xml:space="preserve">rost </w:t>
      </w:r>
      <w:r w:rsidR="00023707">
        <w:rPr>
          <w:rFonts w:ascii="Times New Roman" w:hAnsi="Times New Roman" w:cs="Times New Roman"/>
          <w:sz w:val="24"/>
          <w:szCs w:val="24"/>
        </w:rPr>
        <w:t xml:space="preserve">liczby </w:t>
      </w:r>
      <w:r w:rsidR="00EB31CB">
        <w:rPr>
          <w:rFonts w:ascii="Times New Roman" w:hAnsi="Times New Roman" w:cs="Times New Roman"/>
          <w:sz w:val="24"/>
          <w:szCs w:val="24"/>
        </w:rPr>
        <w:t>badaczy z ok 1 mln (2000) do 1,3 mln (2013</w:t>
      </w:r>
      <w:r>
        <w:rPr>
          <w:rFonts w:ascii="Times New Roman" w:hAnsi="Times New Roman" w:cs="Times New Roman"/>
          <w:sz w:val="24"/>
          <w:szCs w:val="24"/>
        </w:rPr>
        <w:t>).</w:t>
      </w:r>
      <w:r w:rsidR="00EB65D3">
        <w:rPr>
          <w:rFonts w:ascii="Times New Roman" w:hAnsi="Times New Roman" w:cs="Times New Roman"/>
          <w:sz w:val="24"/>
          <w:szCs w:val="24"/>
        </w:rPr>
        <w:t xml:space="preserve"> Tym niemniej należy uznać, że w tej kwestii Chiny dysponują większymi zasobami badaczy, przy czym dodatkowym atutem jest ich zatrudnienie w znaczącej większości w laboratoriach B+R przedsiębiorstw (OECD, 2016a). Z kolei w przypadku USA dostępne dane odnośnie do kapitału ludzkiego w B+R są bardz</w:t>
      </w:r>
      <w:r w:rsidR="00A76709">
        <w:rPr>
          <w:rFonts w:ascii="Times New Roman" w:hAnsi="Times New Roman" w:cs="Times New Roman"/>
          <w:sz w:val="24"/>
          <w:szCs w:val="24"/>
        </w:rPr>
        <w:t>o skromne, co uniemożliwia szczegółowe</w:t>
      </w:r>
      <w:r w:rsidR="00EB65D3">
        <w:rPr>
          <w:rFonts w:ascii="Times New Roman" w:hAnsi="Times New Roman" w:cs="Times New Roman"/>
          <w:sz w:val="24"/>
          <w:szCs w:val="24"/>
        </w:rPr>
        <w:t xml:space="preserve"> porównanie potencjału obu krajów.</w:t>
      </w:r>
    </w:p>
    <w:p w:rsidR="00437A59" w:rsidRDefault="00437A59" w:rsidP="000D0B7D">
      <w:pPr>
        <w:tabs>
          <w:tab w:val="left" w:leader="dot" w:pos="10773"/>
        </w:tabs>
        <w:ind w:left="0" w:firstLine="709"/>
        <w:rPr>
          <w:rFonts w:ascii="Times New Roman" w:hAnsi="Times New Roman" w:cs="Times New Roman"/>
          <w:sz w:val="24"/>
          <w:szCs w:val="24"/>
        </w:rPr>
      </w:pPr>
    </w:p>
    <w:p w:rsidR="000D0B7D" w:rsidRDefault="000D0B7D" w:rsidP="000D0B7D">
      <w:pPr>
        <w:tabs>
          <w:tab w:val="left" w:leader="dot" w:pos="10773"/>
        </w:tabs>
        <w:ind w:left="0"/>
        <w:rPr>
          <w:rFonts w:ascii="Times New Roman" w:hAnsi="Times New Roman" w:cs="Times New Roman"/>
          <w:sz w:val="24"/>
          <w:szCs w:val="24"/>
        </w:rPr>
      </w:pPr>
      <w:r>
        <w:rPr>
          <w:noProof/>
          <w:lang w:eastAsia="pl-PL"/>
        </w:rPr>
        <w:lastRenderedPageBreak/>
        <w:drawing>
          <wp:inline distT="0" distB="0" distL="0" distR="0" wp14:anchorId="620398F8" wp14:editId="3F10423A">
            <wp:extent cx="3600000" cy="2160000"/>
            <wp:effectExtent l="0" t="0" r="635" b="1206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7C32" w:rsidRDefault="00817C32" w:rsidP="00817C32">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Rysunek 8. Liczba badaczy (ekwiwalent pełnego etatu)</w:t>
      </w:r>
    </w:p>
    <w:p w:rsidR="000D0B7D" w:rsidRDefault="000D0B7D" w:rsidP="000D0B7D">
      <w:pPr>
        <w:tabs>
          <w:tab w:val="left" w:leader="dot" w:pos="10773"/>
        </w:tabs>
        <w:ind w:left="0"/>
        <w:rPr>
          <w:rFonts w:ascii="Times New Roman" w:hAnsi="Times New Roman" w:cs="Times New Roman"/>
          <w:sz w:val="20"/>
          <w:szCs w:val="20"/>
        </w:rPr>
      </w:pPr>
      <w:r w:rsidRPr="00097AC6">
        <w:rPr>
          <w:rFonts w:ascii="Times New Roman" w:hAnsi="Times New Roman" w:cs="Times New Roman"/>
          <w:sz w:val="20"/>
          <w:szCs w:val="20"/>
        </w:rPr>
        <w:t>Źródło: jak rys. 1.</w:t>
      </w:r>
    </w:p>
    <w:p w:rsidR="00437A59" w:rsidRDefault="00437A59" w:rsidP="007C6DBF">
      <w:pPr>
        <w:tabs>
          <w:tab w:val="left" w:leader="dot" w:pos="10773"/>
        </w:tabs>
        <w:ind w:left="0" w:firstLine="709"/>
        <w:rPr>
          <w:rFonts w:ascii="Times New Roman" w:hAnsi="Times New Roman" w:cs="Times New Roman"/>
          <w:sz w:val="24"/>
          <w:szCs w:val="24"/>
        </w:rPr>
      </w:pPr>
    </w:p>
    <w:p w:rsidR="00097AC6" w:rsidRDefault="00D10CA6" w:rsidP="007C6DBF">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Miarą pozytywnych rezultatów prowadzonej działalności B+R</w:t>
      </w:r>
      <w:r w:rsidR="007C6DBF">
        <w:rPr>
          <w:rFonts w:ascii="Times New Roman" w:hAnsi="Times New Roman" w:cs="Times New Roman"/>
          <w:sz w:val="24"/>
          <w:szCs w:val="24"/>
        </w:rPr>
        <w:t xml:space="preserve"> (wskaźnik</w:t>
      </w:r>
      <w:r w:rsidR="007C6DBF" w:rsidRPr="007C6DBF">
        <w:rPr>
          <w:rFonts w:ascii="Times New Roman" w:hAnsi="Times New Roman" w:cs="Times New Roman"/>
          <w:i/>
          <w:sz w:val="24"/>
          <w:szCs w:val="24"/>
        </w:rPr>
        <w:t xml:space="preserve"> output</w:t>
      </w:r>
      <w:r w:rsidR="007C6DBF">
        <w:rPr>
          <w:rFonts w:ascii="Times New Roman" w:hAnsi="Times New Roman" w:cs="Times New Roman"/>
          <w:sz w:val="24"/>
          <w:szCs w:val="24"/>
        </w:rPr>
        <w:t>)</w:t>
      </w:r>
      <w:r>
        <w:rPr>
          <w:rFonts w:ascii="Times New Roman" w:hAnsi="Times New Roman" w:cs="Times New Roman"/>
          <w:sz w:val="24"/>
          <w:szCs w:val="24"/>
        </w:rPr>
        <w:t>, w efekcie której powstaje nowa wiedza i technologia, są zgłoszenia patentowe, dające prawną ochronę własności intelektualnej. Z uwagi na charakter niniejszych rozważań, analizie poddano dwa rodzaje patentów</w:t>
      </w:r>
      <w:r w:rsidR="00680282">
        <w:rPr>
          <w:rFonts w:ascii="Times New Roman" w:hAnsi="Times New Roman" w:cs="Times New Roman"/>
          <w:sz w:val="24"/>
          <w:szCs w:val="24"/>
        </w:rPr>
        <w:t xml:space="preserve"> o charakterze globalnym</w:t>
      </w:r>
      <w:r>
        <w:rPr>
          <w:rFonts w:ascii="Times New Roman" w:hAnsi="Times New Roman" w:cs="Times New Roman"/>
          <w:sz w:val="24"/>
          <w:szCs w:val="24"/>
        </w:rPr>
        <w:t>, a mianowicie patenty triadyczne oraz międzynarodowe zgodne z międzynarodową procedurą P</w:t>
      </w:r>
      <w:r w:rsidR="00EB40C8">
        <w:rPr>
          <w:rFonts w:ascii="Times New Roman" w:hAnsi="Times New Roman" w:cs="Times New Roman"/>
          <w:sz w:val="24"/>
          <w:szCs w:val="24"/>
        </w:rPr>
        <w:t>atent Cooperation Treaty (PCT).</w:t>
      </w:r>
    </w:p>
    <w:p w:rsidR="00097AC6" w:rsidRDefault="00097AC6" w:rsidP="000474E4">
      <w:pPr>
        <w:tabs>
          <w:tab w:val="left" w:leader="dot" w:pos="10773"/>
        </w:tabs>
        <w:ind w:left="0"/>
        <w:rPr>
          <w:rFonts w:ascii="Times New Roman" w:hAnsi="Times New Roman" w:cs="Times New Roman"/>
          <w:sz w:val="24"/>
          <w:szCs w:val="24"/>
        </w:rPr>
      </w:pPr>
    </w:p>
    <w:p w:rsidR="00097AC6" w:rsidRDefault="00097AC6" w:rsidP="000474E4">
      <w:pPr>
        <w:tabs>
          <w:tab w:val="left" w:leader="dot" w:pos="10773"/>
        </w:tabs>
        <w:ind w:left="0"/>
        <w:rPr>
          <w:rFonts w:ascii="Times New Roman" w:hAnsi="Times New Roman" w:cs="Times New Roman"/>
          <w:sz w:val="24"/>
          <w:szCs w:val="24"/>
        </w:rPr>
      </w:pPr>
      <w:r>
        <w:rPr>
          <w:noProof/>
          <w:lang w:eastAsia="pl-PL"/>
        </w:rPr>
        <w:drawing>
          <wp:inline distT="0" distB="0" distL="0" distR="0" wp14:anchorId="3D0614BC" wp14:editId="2AC3D841">
            <wp:extent cx="4680000" cy="2880000"/>
            <wp:effectExtent l="0" t="0" r="6350" b="15875"/>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7C32" w:rsidRDefault="00817C32" w:rsidP="00817C32">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Rysunek 9. Liczba aplikacji patentowych</w:t>
      </w:r>
    </w:p>
    <w:p w:rsidR="00097AC6" w:rsidRPr="00097AC6" w:rsidRDefault="00097AC6" w:rsidP="000474E4">
      <w:pPr>
        <w:tabs>
          <w:tab w:val="left" w:leader="dot" w:pos="10773"/>
        </w:tabs>
        <w:ind w:left="0"/>
        <w:rPr>
          <w:rFonts w:ascii="Times New Roman" w:hAnsi="Times New Roman" w:cs="Times New Roman"/>
          <w:sz w:val="20"/>
          <w:szCs w:val="20"/>
        </w:rPr>
      </w:pPr>
      <w:r w:rsidRPr="00097AC6">
        <w:rPr>
          <w:rFonts w:ascii="Times New Roman" w:hAnsi="Times New Roman" w:cs="Times New Roman"/>
          <w:sz w:val="20"/>
          <w:szCs w:val="20"/>
        </w:rPr>
        <w:t>Źródło: opracowanie własne na podstawie OECD (2016b).</w:t>
      </w:r>
    </w:p>
    <w:p w:rsidR="00097AC6" w:rsidRDefault="00097AC6" w:rsidP="000474E4">
      <w:pPr>
        <w:tabs>
          <w:tab w:val="left" w:leader="dot" w:pos="10773"/>
        </w:tabs>
        <w:ind w:left="0"/>
        <w:rPr>
          <w:rFonts w:ascii="Times New Roman" w:hAnsi="Times New Roman" w:cs="Times New Roman"/>
          <w:sz w:val="24"/>
          <w:szCs w:val="24"/>
        </w:rPr>
      </w:pPr>
    </w:p>
    <w:p w:rsidR="00EB40C8" w:rsidRDefault="00EB40C8" w:rsidP="00EB40C8">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 xml:space="preserve">Analiza aplikacji patentowych (rys. 9) dobitnie wskazuje na ogromną przewagę Stanów Zjednoczonych w przypadku obydwu rodzajów patentów. Choć widoczne jest systematyczne </w:t>
      </w:r>
      <w:r>
        <w:rPr>
          <w:rFonts w:ascii="Times New Roman" w:hAnsi="Times New Roman" w:cs="Times New Roman"/>
          <w:sz w:val="24"/>
          <w:szCs w:val="24"/>
        </w:rPr>
        <w:lastRenderedPageBreak/>
        <w:t xml:space="preserve">poprawianie swojego potencjału przez Chiny, to jednak wyraźny dystans do USA nie powinien zagrozić pozycji lidera. W przypadku patentów PCT, USA dokonały ok. 57 tys. zgłoszeń w 2013 r., podczas gdy Chiny – ok. 22 tys. Wprawdzie jeszcze w 2000 r. Chiny zgłosiły aż 28 razy mniej patentów PCT niż USA (odpowiednio ok. 1,4 tys. do 40,8 tys.) i cały czas wzrasta liczba zgłoszeń ze strony Chin, to jednak </w:t>
      </w:r>
      <w:r w:rsidR="003E175B">
        <w:rPr>
          <w:rFonts w:ascii="Times New Roman" w:hAnsi="Times New Roman" w:cs="Times New Roman"/>
          <w:sz w:val="24"/>
          <w:szCs w:val="24"/>
        </w:rPr>
        <w:t xml:space="preserve">pozycja USA wydaje się być stabilna, zwłaszcza że od 2010 r. odnotowuje się stały wzrost aplikacji patentowych PCT </w:t>
      </w:r>
      <w:r w:rsidR="00A76709">
        <w:rPr>
          <w:rFonts w:ascii="Times New Roman" w:hAnsi="Times New Roman" w:cs="Times New Roman"/>
          <w:sz w:val="24"/>
          <w:szCs w:val="24"/>
        </w:rPr>
        <w:t xml:space="preserve">zgłaszanych </w:t>
      </w:r>
      <w:r w:rsidR="003E175B">
        <w:rPr>
          <w:rFonts w:ascii="Times New Roman" w:hAnsi="Times New Roman" w:cs="Times New Roman"/>
          <w:sz w:val="24"/>
          <w:szCs w:val="24"/>
        </w:rPr>
        <w:t xml:space="preserve">przez podmioty z USA. Jeszcze wyraźniejsza dominacja Stanów Zjednoczonych ma miejsce w przypadku patentów triadycznych. W 2013 r. liczba zgłoszeń patentów triadycznych z USA była 7,5-krotnie </w:t>
      </w:r>
      <w:r w:rsidR="00023707">
        <w:rPr>
          <w:rFonts w:ascii="Times New Roman" w:hAnsi="Times New Roman" w:cs="Times New Roman"/>
          <w:sz w:val="24"/>
          <w:szCs w:val="24"/>
        </w:rPr>
        <w:t xml:space="preserve">wyższa </w:t>
      </w:r>
      <w:r w:rsidR="003E175B">
        <w:rPr>
          <w:rFonts w:ascii="Times New Roman" w:hAnsi="Times New Roman" w:cs="Times New Roman"/>
          <w:sz w:val="24"/>
          <w:szCs w:val="24"/>
        </w:rPr>
        <w:t>aniżeli z Chin (odpowiednio</w:t>
      </w:r>
      <w:r w:rsidR="00A76709">
        <w:rPr>
          <w:rFonts w:ascii="Times New Roman" w:hAnsi="Times New Roman" w:cs="Times New Roman"/>
          <w:sz w:val="24"/>
          <w:szCs w:val="24"/>
        </w:rPr>
        <w:t xml:space="preserve"> 14,2 tys., 1,9 tys.). Warto podkreślić, że</w:t>
      </w:r>
      <w:r w:rsidR="003E175B">
        <w:rPr>
          <w:rFonts w:ascii="Times New Roman" w:hAnsi="Times New Roman" w:cs="Times New Roman"/>
          <w:sz w:val="24"/>
          <w:szCs w:val="24"/>
        </w:rPr>
        <w:t xml:space="preserve"> w 2000 r. liczba amerykańskich patentów triadycznych była ok. 180 razy większa niż chińskich (15,6 tys. versus 87). Biorąc pod uwagę tempo wzrostu </w:t>
      </w:r>
      <w:r w:rsidR="00E145AD">
        <w:rPr>
          <w:rFonts w:ascii="Times New Roman" w:hAnsi="Times New Roman" w:cs="Times New Roman"/>
          <w:sz w:val="24"/>
          <w:szCs w:val="24"/>
        </w:rPr>
        <w:t>zaangażowania Chin w zgłoszenia patentowe, można wnioskować o ich wzrastającym potencjale, jednak nie dającym jeszcze podstaw do zagrożenia pozycji lidera, któ</w:t>
      </w:r>
      <w:r w:rsidR="00437A59">
        <w:rPr>
          <w:rFonts w:ascii="Times New Roman" w:hAnsi="Times New Roman" w:cs="Times New Roman"/>
          <w:sz w:val="24"/>
          <w:szCs w:val="24"/>
        </w:rPr>
        <w:t>rą zajmują USA.</w:t>
      </w:r>
    </w:p>
    <w:p w:rsidR="00EB40C8" w:rsidRDefault="00EB40C8" w:rsidP="000474E4">
      <w:pPr>
        <w:tabs>
          <w:tab w:val="left" w:leader="dot" w:pos="10773"/>
        </w:tabs>
        <w:ind w:left="0"/>
        <w:rPr>
          <w:rFonts w:ascii="Times New Roman" w:hAnsi="Times New Roman" w:cs="Times New Roman"/>
          <w:sz w:val="24"/>
          <w:szCs w:val="24"/>
        </w:rPr>
      </w:pPr>
    </w:p>
    <w:p w:rsidR="000857CA" w:rsidRPr="000857CA" w:rsidRDefault="000857CA" w:rsidP="000474E4">
      <w:pPr>
        <w:tabs>
          <w:tab w:val="left" w:leader="dot" w:pos="10773"/>
        </w:tabs>
        <w:ind w:left="0"/>
        <w:rPr>
          <w:rFonts w:ascii="Times New Roman" w:hAnsi="Times New Roman" w:cs="Times New Roman"/>
          <w:b/>
          <w:sz w:val="24"/>
          <w:szCs w:val="24"/>
        </w:rPr>
      </w:pPr>
      <w:r>
        <w:rPr>
          <w:rFonts w:ascii="Times New Roman" w:hAnsi="Times New Roman" w:cs="Times New Roman"/>
          <w:b/>
          <w:sz w:val="24"/>
          <w:szCs w:val="24"/>
        </w:rPr>
        <w:t>Identyfikacja pr</w:t>
      </w:r>
      <w:r w:rsidR="00C94875">
        <w:rPr>
          <w:rFonts w:ascii="Times New Roman" w:hAnsi="Times New Roman" w:cs="Times New Roman"/>
          <w:b/>
          <w:sz w:val="24"/>
          <w:szCs w:val="24"/>
        </w:rPr>
        <w:t>zewag USA i Chin</w:t>
      </w:r>
      <w:r w:rsidR="00B74686">
        <w:rPr>
          <w:rFonts w:ascii="Times New Roman" w:hAnsi="Times New Roman" w:cs="Times New Roman"/>
          <w:b/>
          <w:sz w:val="24"/>
          <w:szCs w:val="24"/>
        </w:rPr>
        <w:t xml:space="preserve"> oraz implikacje dla globalnych B+R</w:t>
      </w:r>
    </w:p>
    <w:p w:rsidR="00097AC6" w:rsidRDefault="00B52E69" w:rsidP="000474E4">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 xml:space="preserve">Warto zatem podjąć próbę syntetycznego przedstawienia obecnego stanu rywalizacji USA i Chin na polu działalności badawczo-rozwojowej. </w:t>
      </w:r>
      <w:r w:rsidR="00E56883">
        <w:rPr>
          <w:rFonts w:ascii="Times New Roman" w:hAnsi="Times New Roman" w:cs="Times New Roman"/>
          <w:sz w:val="24"/>
          <w:szCs w:val="24"/>
        </w:rPr>
        <w:t xml:space="preserve">Przeprowadzone analizy nie wskazują jednoznacznie na możliwość przejęcia </w:t>
      </w:r>
      <w:r w:rsidR="00825B3A">
        <w:rPr>
          <w:rFonts w:ascii="Times New Roman" w:hAnsi="Times New Roman" w:cs="Times New Roman"/>
          <w:sz w:val="24"/>
          <w:szCs w:val="24"/>
        </w:rPr>
        <w:t xml:space="preserve">całkowitego </w:t>
      </w:r>
      <w:r w:rsidR="00E56883">
        <w:rPr>
          <w:rFonts w:ascii="Times New Roman" w:hAnsi="Times New Roman" w:cs="Times New Roman"/>
          <w:sz w:val="24"/>
          <w:szCs w:val="24"/>
        </w:rPr>
        <w:t xml:space="preserve">przywództwa B+R w świecie, a raczej na ukonstytuowanie się nowego układu w globalnej działalności badawczo-rozwojowej z dwiema gospodarkami o </w:t>
      </w:r>
      <w:r w:rsidR="00023707">
        <w:rPr>
          <w:rFonts w:ascii="Times New Roman" w:hAnsi="Times New Roman" w:cs="Times New Roman"/>
          <w:sz w:val="24"/>
          <w:szCs w:val="24"/>
        </w:rPr>
        <w:t xml:space="preserve">wyraźnie </w:t>
      </w:r>
      <w:r w:rsidR="00E56883">
        <w:rPr>
          <w:rFonts w:ascii="Times New Roman" w:hAnsi="Times New Roman" w:cs="Times New Roman"/>
          <w:sz w:val="24"/>
          <w:szCs w:val="24"/>
        </w:rPr>
        <w:t>dominującym znaczeniu</w:t>
      </w:r>
      <w:r w:rsidR="00CE5554">
        <w:rPr>
          <w:rFonts w:ascii="Times New Roman" w:hAnsi="Times New Roman" w:cs="Times New Roman"/>
          <w:sz w:val="24"/>
          <w:szCs w:val="24"/>
        </w:rPr>
        <w:t xml:space="preserve"> i </w:t>
      </w:r>
      <w:r w:rsidR="00825B3A">
        <w:rPr>
          <w:rFonts w:ascii="Times New Roman" w:hAnsi="Times New Roman" w:cs="Times New Roman"/>
          <w:sz w:val="24"/>
          <w:szCs w:val="24"/>
        </w:rPr>
        <w:t xml:space="preserve">zasadniczo </w:t>
      </w:r>
      <w:r w:rsidR="00CE5554">
        <w:rPr>
          <w:rFonts w:ascii="Times New Roman" w:hAnsi="Times New Roman" w:cs="Times New Roman"/>
          <w:sz w:val="24"/>
          <w:szCs w:val="24"/>
        </w:rPr>
        <w:t>porównywalnym potencjale</w:t>
      </w:r>
      <w:r w:rsidR="00E56883">
        <w:rPr>
          <w:rFonts w:ascii="Times New Roman" w:hAnsi="Times New Roman" w:cs="Times New Roman"/>
          <w:sz w:val="24"/>
          <w:szCs w:val="24"/>
        </w:rPr>
        <w:t xml:space="preserve">. Z pewnością można już stwierdzić, że dynamiczne włączanie się Chin w światowe B+R spowodowało rozbicie </w:t>
      </w:r>
      <w:r w:rsidR="00825B3A">
        <w:rPr>
          <w:rFonts w:ascii="Times New Roman" w:hAnsi="Times New Roman" w:cs="Times New Roman"/>
          <w:sz w:val="24"/>
          <w:szCs w:val="24"/>
        </w:rPr>
        <w:t xml:space="preserve">długotrwałego </w:t>
      </w:r>
      <w:r w:rsidR="00E56883">
        <w:rPr>
          <w:rFonts w:ascii="Times New Roman" w:hAnsi="Times New Roman" w:cs="Times New Roman"/>
          <w:sz w:val="24"/>
          <w:szCs w:val="24"/>
        </w:rPr>
        <w:t xml:space="preserve">monopolu USA na pozycji lidera. Obecnie dystans pomiędzy liderem i wiceliderem stopniowo zmniejsza się na wielu płaszczyznach, a rywalizacja pomiędzy USA i Chinami </w:t>
      </w:r>
      <w:r w:rsidR="00545129">
        <w:rPr>
          <w:rFonts w:ascii="Times New Roman" w:hAnsi="Times New Roman" w:cs="Times New Roman"/>
          <w:sz w:val="24"/>
          <w:szCs w:val="24"/>
        </w:rPr>
        <w:t>przyjmuje realne kształty.</w:t>
      </w:r>
    </w:p>
    <w:p w:rsidR="00C10A6D" w:rsidRDefault="001D333B" w:rsidP="00C10A6D">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Próba syntetycznego ujęcia bilansu rywalizacji w działalności badawczo-rozwojowej pomiędzy USA i Chinami została przedstawiona w tab. 1. Można stwierdzić, że siła Stanów Zjednoczonych wynika z ich długotrwałej pozycji lidera światowych B+R, ale na szczególne znaczenie zasługuje wyraźna przewaga w tworzeniu wiedzy (zwłaszcza podstawowej) oraz w zgłaszanych patentach. Słabości USA wynikają ze swoistej stagnacji, objawiającej się bardzo niską dynam</w:t>
      </w:r>
      <w:r w:rsidR="00A76709">
        <w:rPr>
          <w:rFonts w:ascii="Times New Roman" w:hAnsi="Times New Roman" w:cs="Times New Roman"/>
          <w:sz w:val="24"/>
          <w:szCs w:val="24"/>
        </w:rPr>
        <w:t>iką rozwoju potencjału USA, chociaż</w:t>
      </w:r>
      <w:r>
        <w:rPr>
          <w:rFonts w:ascii="Times New Roman" w:hAnsi="Times New Roman" w:cs="Times New Roman"/>
          <w:sz w:val="24"/>
          <w:szCs w:val="24"/>
        </w:rPr>
        <w:t xml:space="preserve"> niepokojący jest spadek znaczenia sfery biznesu w finansowaniu i realizacji nakładów B+R. Z kolei przewaga Chin wynika wprost z imponującego tempa rozwoju działalności badawczo-rozwojowej, co prowadzi do szybkiego doganiania lidera. Siłą Chin jest z pewnością znaczące zaangażowanie sektora przedsiębiorstw w B+R oraz ukierunkowanie na badania rozwojowe. Natomiast słabości chińskich B+R </w:t>
      </w:r>
      <w:r>
        <w:rPr>
          <w:rFonts w:ascii="Times New Roman" w:hAnsi="Times New Roman" w:cs="Times New Roman"/>
          <w:sz w:val="24"/>
          <w:szCs w:val="24"/>
        </w:rPr>
        <w:lastRenderedPageBreak/>
        <w:t xml:space="preserve">wynikają z niskiego udziału uczelni w B+R oraz </w:t>
      </w:r>
      <w:r w:rsidR="001B309C">
        <w:rPr>
          <w:rFonts w:ascii="Times New Roman" w:hAnsi="Times New Roman" w:cs="Times New Roman"/>
          <w:sz w:val="24"/>
          <w:szCs w:val="24"/>
        </w:rPr>
        <w:t>nikłego zaangażowania w badania podstawowe.</w:t>
      </w:r>
    </w:p>
    <w:p w:rsidR="003D1EB9" w:rsidRDefault="003D1EB9" w:rsidP="003D1EB9">
      <w:pPr>
        <w:tabs>
          <w:tab w:val="left" w:leader="dot" w:pos="10773"/>
        </w:tabs>
        <w:ind w:left="0"/>
        <w:rPr>
          <w:rFonts w:ascii="Times New Roman" w:hAnsi="Times New Roman" w:cs="Times New Roman"/>
          <w:sz w:val="24"/>
          <w:szCs w:val="24"/>
        </w:rPr>
      </w:pPr>
    </w:p>
    <w:p w:rsidR="003D1EB9" w:rsidRDefault="003D1EB9" w:rsidP="003D1EB9">
      <w:pPr>
        <w:tabs>
          <w:tab w:val="left" w:leader="dot" w:pos="10773"/>
        </w:tabs>
        <w:ind w:left="0"/>
        <w:rPr>
          <w:rFonts w:ascii="Times New Roman" w:hAnsi="Times New Roman" w:cs="Times New Roman"/>
          <w:sz w:val="24"/>
          <w:szCs w:val="24"/>
        </w:rPr>
      </w:pPr>
      <w:r>
        <w:rPr>
          <w:rFonts w:ascii="Times New Roman" w:hAnsi="Times New Roman" w:cs="Times New Roman"/>
          <w:sz w:val="24"/>
          <w:szCs w:val="24"/>
        </w:rPr>
        <w:t>Tabela 1. Bilans rywalizacji w działalności B+R</w:t>
      </w:r>
    </w:p>
    <w:tbl>
      <w:tblPr>
        <w:tblStyle w:val="Tabela-Siatka"/>
        <w:tblW w:w="0" w:type="auto"/>
        <w:tblLook w:val="04A0" w:firstRow="1" w:lastRow="0" w:firstColumn="1" w:lastColumn="0" w:noHBand="0" w:noVBand="1"/>
      </w:tblPr>
      <w:tblGrid>
        <w:gridCol w:w="1812"/>
        <w:gridCol w:w="1812"/>
        <w:gridCol w:w="1812"/>
        <w:gridCol w:w="1813"/>
        <w:gridCol w:w="1813"/>
      </w:tblGrid>
      <w:tr w:rsidR="00A02E99" w:rsidRPr="00A02E99" w:rsidTr="001D333B">
        <w:tc>
          <w:tcPr>
            <w:tcW w:w="1812" w:type="dxa"/>
            <w:vMerge w:val="restart"/>
          </w:tcPr>
          <w:p w:rsidR="001D333B" w:rsidRDefault="001D333B" w:rsidP="001D333B">
            <w:pPr>
              <w:tabs>
                <w:tab w:val="left" w:leader="dot" w:pos="10773"/>
              </w:tabs>
              <w:spacing w:line="240" w:lineRule="auto"/>
              <w:ind w:left="0"/>
              <w:jc w:val="center"/>
              <w:rPr>
                <w:rFonts w:ascii="Times New Roman" w:hAnsi="Times New Roman" w:cs="Times New Roman"/>
                <w:sz w:val="18"/>
                <w:szCs w:val="18"/>
              </w:rPr>
            </w:pPr>
          </w:p>
          <w:p w:rsidR="00A02E99" w:rsidRPr="00A02E99" w:rsidRDefault="001D333B" w:rsidP="001D333B">
            <w:pPr>
              <w:tabs>
                <w:tab w:val="left" w:leader="dot" w:pos="10773"/>
              </w:tabs>
              <w:spacing w:line="240" w:lineRule="auto"/>
              <w:ind w:left="0"/>
              <w:jc w:val="center"/>
              <w:rPr>
                <w:rFonts w:ascii="Times New Roman" w:hAnsi="Times New Roman" w:cs="Times New Roman"/>
                <w:sz w:val="18"/>
                <w:szCs w:val="18"/>
              </w:rPr>
            </w:pPr>
            <w:r>
              <w:rPr>
                <w:rFonts w:ascii="Times New Roman" w:hAnsi="Times New Roman" w:cs="Times New Roman"/>
                <w:sz w:val="18"/>
                <w:szCs w:val="18"/>
              </w:rPr>
              <w:t>kategoria</w:t>
            </w:r>
          </w:p>
        </w:tc>
        <w:tc>
          <w:tcPr>
            <w:tcW w:w="3624" w:type="dxa"/>
            <w:gridSpan w:val="2"/>
          </w:tcPr>
          <w:p w:rsidR="00A02E99" w:rsidRPr="00A02E99" w:rsidRDefault="00A02E99" w:rsidP="003D1EB9">
            <w:pPr>
              <w:tabs>
                <w:tab w:val="left" w:leader="dot" w:pos="10773"/>
              </w:tabs>
              <w:spacing w:line="240" w:lineRule="auto"/>
              <w:ind w:left="0"/>
              <w:jc w:val="center"/>
              <w:rPr>
                <w:rFonts w:ascii="Times New Roman" w:hAnsi="Times New Roman" w:cs="Times New Roman"/>
                <w:sz w:val="18"/>
                <w:szCs w:val="18"/>
              </w:rPr>
            </w:pPr>
            <w:r w:rsidRPr="00A02E99">
              <w:rPr>
                <w:rFonts w:ascii="Times New Roman" w:hAnsi="Times New Roman" w:cs="Times New Roman"/>
                <w:sz w:val="18"/>
                <w:szCs w:val="18"/>
              </w:rPr>
              <w:t>USA</w:t>
            </w:r>
          </w:p>
        </w:tc>
        <w:tc>
          <w:tcPr>
            <w:tcW w:w="3626" w:type="dxa"/>
            <w:gridSpan w:val="2"/>
          </w:tcPr>
          <w:p w:rsidR="00A02E99" w:rsidRPr="00A02E99" w:rsidRDefault="00A02E99" w:rsidP="003D1EB9">
            <w:pPr>
              <w:tabs>
                <w:tab w:val="left" w:leader="dot" w:pos="10773"/>
              </w:tabs>
              <w:spacing w:line="240" w:lineRule="auto"/>
              <w:ind w:left="0"/>
              <w:jc w:val="center"/>
              <w:rPr>
                <w:rFonts w:ascii="Times New Roman" w:hAnsi="Times New Roman" w:cs="Times New Roman"/>
                <w:sz w:val="18"/>
                <w:szCs w:val="18"/>
              </w:rPr>
            </w:pPr>
            <w:r w:rsidRPr="00A02E99">
              <w:rPr>
                <w:rFonts w:ascii="Times New Roman" w:hAnsi="Times New Roman" w:cs="Times New Roman"/>
                <w:sz w:val="18"/>
                <w:szCs w:val="18"/>
              </w:rPr>
              <w:t>Chiny</w:t>
            </w:r>
          </w:p>
        </w:tc>
      </w:tr>
      <w:tr w:rsidR="00A02E99" w:rsidRPr="00A02E99" w:rsidTr="003D1EB9">
        <w:tc>
          <w:tcPr>
            <w:tcW w:w="1812" w:type="dxa"/>
            <w:vMerge/>
          </w:tcPr>
          <w:p w:rsidR="00A02E99" w:rsidRPr="00A02E99" w:rsidRDefault="00A02E99" w:rsidP="003D1EB9">
            <w:pPr>
              <w:tabs>
                <w:tab w:val="left" w:leader="dot" w:pos="10773"/>
              </w:tabs>
              <w:spacing w:line="240" w:lineRule="auto"/>
              <w:ind w:left="0"/>
              <w:rPr>
                <w:rFonts w:ascii="Times New Roman" w:hAnsi="Times New Roman" w:cs="Times New Roman"/>
                <w:sz w:val="18"/>
                <w:szCs w:val="18"/>
              </w:rPr>
            </w:pPr>
          </w:p>
        </w:tc>
        <w:tc>
          <w:tcPr>
            <w:tcW w:w="1812" w:type="dxa"/>
          </w:tcPr>
          <w:p w:rsidR="00A02E99" w:rsidRPr="00A02E99" w:rsidRDefault="00A02E99" w:rsidP="003D1EB9">
            <w:pPr>
              <w:tabs>
                <w:tab w:val="left" w:leader="dot" w:pos="10773"/>
              </w:tabs>
              <w:spacing w:line="240" w:lineRule="auto"/>
              <w:ind w:left="0"/>
              <w:jc w:val="center"/>
              <w:rPr>
                <w:rFonts w:ascii="Times New Roman" w:hAnsi="Times New Roman" w:cs="Times New Roman"/>
                <w:sz w:val="18"/>
                <w:szCs w:val="18"/>
              </w:rPr>
            </w:pPr>
            <w:r w:rsidRPr="00A02E99">
              <w:rPr>
                <w:rFonts w:ascii="Times New Roman" w:hAnsi="Times New Roman" w:cs="Times New Roman"/>
                <w:sz w:val="18"/>
                <w:szCs w:val="18"/>
              </w:rPr>
              <w:t>przewagi</w:t>
            </w:r>
          </w:p>
        </w:tc>
        <w:tc>
          <w:tcPr>
            <w:tcW w:w="1812" w:type="dxa"/>
          </w:tcPr>
          <w:p w:rsidR="00A02E99" w:rsidRPr="00A02E99" w:rsidRDefault="00A02E99" w:rsidP="003D1EB9">
            <w:pPr>
              <w:tabs>
                <w:tab w:val="left" w:leader="dot" w:pos="10773"/>
              </w:tabs>
              <w:spacing w:line="240" w:lineRule="auto"/>
              <w:ind w:left="0"/>
              <w:jc w:val="center"/>
              <w:rPr>
                <w:rFonts w:ascii="Times New Roman" w:hAnsi="Times New Roman" w:cs="Times New Roman"/>
                <w:sz w:val="18"/>
                <w:szCs w:val="18"/>
              </w:rPr>
            </w:pPr>
            <w:r w:rsidRPr="00A02E99">
              <w:rPr>
                <w:rFonts w:ascii="Times New Roman" w:hAnsi="Times New Roman" w:cs="Times New Roman"/>
                <w:sz w:val="18"/>
                <w:szCs w:val="18"/>
              </w:rPr>
              <w:t>słabości</w:t>
            </w:r>
          </w:p>
        </w:tc>
        <w:tc>
          <w:tcPr>
            <w:tcW w:w="1813" w:type="dxa"/>
          </w:tcPr>
          <w:p w:rsidR="00A02E99" w:rsidRPr="00A02E99" w:rsidRDefault="00A02E99" w:rsidP="003D1EB9">
            <w:pPr>
              <w:tabs>
                <w:tab w:val="left" w:leader="dot" w:pos="10773"/>
              </w:tabs>
              <w:spacing w:line="240" w:lineRule="auto"/>
              <w:ind w:left="0"/>
              <w:jc w:val="center"/>
              <w:rPr>
                <w:rFonts w:ascii="Times New Roman" w:hAnsi="Times New Roman" w:cs="Times New Roman"/>
                <w:sz w:val="18"/>
                <w:szCs w:val="18"/>
              </w:rPr>
            </w:pPr>
            <w:r w:rsidRPr="00A02E99">
              <w:rPr>
                <w:rFonts w:ascii="Times New Roman" w:hAnsi="Times New Roman" w:cs="Times New Roman"/>
                <w:sz w:val="18"/>
                <w:szCs w:val="18"/>
              </w:rPr>
              <w:t>przewagi</w:t>
            </w:r>
          </w:p>
        </w:tc>
        <w:tc>
          <w:tcPr>
            <w:tcW w:w="1813" w:type="dxa"/>
          </w:tcPr>
          <w:p w:rsidR="00A02E99" w:rsidRPr="00A02E99" w:rsidRDefault="00A02E99" w:rsidP="003D1EB9">
            <w:pPr>
              <w:tabs>
                <w:tab w:val="left" w:leader="dot" w:pos="10773"/>
              </w:tabs>
              <w:spacing w:line="240" w:lineRule="auto"/>
              <w:ind w:left="0"/>
              <w:jc w:val="center"/>
              <w:rPr>
                <w:rFonts w:ascii="Times New Roman" w:hAnsi="Times New Roman" w:cs="Times New Roman"/>
                <w:sz w:val="18"/>
                <w:szCs w:val="18"/>
              </w:rPr>
            </w:pPr>
            <w:r w:rsidRPr="00A02E99">
              <w:rPr>
                <w:rFonts w:ascii="Times New Roman" w:hAnsi="Times New Roman" w:cs="Times New Roman"/>
                <w:sz w:val="18"/>
                <w:szCs w:val="18"/>
              </w:rPr>
              <w:t>słabości</w:t>
            </w:r>
          </w:p>
        </w:tc>
      </w:tr>
      <w:tr w:rsidR="003D1EB9" w:rsidRPr="00A02E99" w:rsidTr="003D1EB9">
        <w:tc>
          <w:tcPr>
            <w:tcW w:w="1812" w:type="dxa"/>
          </w:tcPr>
          <w:p w:rsidR="003D1EB9" w:rsidRPr="00A02E99" w:rsidRDefault="003D1EB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Wielkość nakładów B+R</w:t>
            </w:r>
          </w:p>
        </w:tc>
        <w:tc>
          <w:tcPr>
            <w:tcW w:w="1812"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Pr>
                <w:rFonts w:ascii="Times New Roman" w:hAnsi="Times New Roman" w:cs="Times New Roman"/>
                <w:sz w:val="18"/>
                <w:szCs w:val="18"/>
              </w:rPr>
              <w:t>najwyższe nakłady</w:t>
            </w:r>
            <w:r w:rsidRPr="00A02E99">
              <w:rPr>
                <w:rFonts w:ascii="Times New Roman" w:hAnsi="Times New Roman" w:cs="Times New Roman"/>
                <w:sz w:val="18"/>
                <w:szCs w:val="18"/>
              </w:rPr>
              <w:t xml:space="preserve"> w świecie</w:t>
            </w:r>
          </w:p>
        </w:tc>
        <w:tc>
          <w:tcPr>
            <w:tcW w:w="1812"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niskie tempo wzrostu</w:t>
            </w:r>
          </w:p>
        </w:tc>
        <w:tc>
          <w:tcPr>
            <w:tcW w:w="1813"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wy</w:t>
            </w:r>
            <w:r>
              <w:rPr>
                <w:rFonts w:ascii="Times New Roman" w:hAnsi="Times New Roman" w:cs="Times New Roman"/>
                <w:sz w:val="18"/>
                <w:szCs w:val="18"/>
              </w:rPr>
              <w:t>sokie tempo wzrostu nakładów</w:t>
            </w:r>
          </w:p>
        </w:tc>
        <w:tc>
          <w:tcPr>
            <w:tcW w:w="1813" w:type="dxa"/>
          </w:tcPr>
          <w:p w:rsidR="003D1EB9" w:rsidRPr="00A02E99" w:rsidRDefault="00A02E99" w:rsidP="00A02E99">
            <w:pPr>
              <w:tabs>
                <w:tab w:val="left" w:leader="dot" w:pos="10773"/>
              </w:tabs>
              <w:spacing w:line="240" w:lineRule="auto"/>
              <w:ind w:left="0"/>
              <w:jc w:val="center"/>
              <w:rPr>
                <w:rFonts w:ascii="Times New Roman" w:hAnsi="Times New Roman" w:cs="Times New Roman"/>
                <w:sz w:val="18"/>
                <w:szCs w:val="18"/>
              </w:rPr>
            </w:pPr>
            <w:r w:rsidRPr="00A02E99">
              <w:rPr>
                <w:rFonts w:ascii="Times New Roman" w:hAnsi="Times New Roman" w:cs="Times New Roman"/>
                <w:sz w:val="18"/>
                <w:szCs w:val="18"/>
              </w:rPr>
              <w:t>-</w:t>
            </w:r>
          </w:p>
        </w:tc>
      </w:tr>
      <w:tr w:rsidR="003D1EB9" w:rsidRPr="00A02E99" w:rsidTr="003D1EB9">
        <w:tc>
          <w:tcPr>
            <w:tcW w:w="1812" w:type="dxa"/>
          </w:tcPr>
          <w:p w:rsidR="003D1EB9" w:rsidRPr="00A02E99" w:rsidRDefault="003D1EB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Struktura badań</w:t>
            </w:r>
          </w:p>
        </w:tc>
        <w:tc>
          <w:tcPr>
            <w:tcW w:w="1812"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silna pozycja badań podstawowych, stabilny udział badań rozwojowych</w:t>
            </w:r>
          </w:p>
        </w:tc>
        <w:tc>
          <w:tcPr>
            <w:tcW w:w="1812" w:type="dxa"/>
          </w:tcPr>
          <w:p w:rsidR="003D1EB9" w:rsidRPr="00A02E99" w:rsidRDefault="00A02E99" w:rsidP="00A02E99">
            <w:pPr>
              <w:tabs>
                <w:tab w:val="left" w:leader="dot" w:pos="10773"/>
              </w:tabs>
              <w:spacing w:line="240" w:lineRule="auto"/>
              <w:ind w:left="0"/>
              <w:jc w:val="center"/>
              <w:rPr>
                <w:rFonts w:ascii="Times New Roman" w:hAnsi="Times New Roman" w:cs="Times New Roman"/>
                <w:sz w:val="18"/>
                <w:szCs w:val="18"/>
              </w:rPr>
            </w:pPr>
            <w:r w:rsidRPr="00A02E99">
              <w:rPr>
                <w:rFonts w:ascii="Times New Roman" w:hAnsi="Times New Roman" w:cs="Times New Roman"/>
                <w:sz w:val="18"/>
                <w:szCs w:val="18"/>
              </w:rPr>
              <w:t>-</w:t>
            </w:r>
          </w:p>
        </w:tc>
        <w:tc>
          <w:tcPr>
            <w:tcW w:w="1813"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największy i wzrastający udział badań rozwojowych</w:t>
            </w:r>
          </w:p>
        </w:tc>
        <w:tc>
          <w:tcPr>
            <w:tcW w:w="1813"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małe znaczenie badań podstawowych</w:t>
            </w:r>
          </w:p>
        </w:tc>
      </w:tr>
      <w:tr w:rsidR="003D1EB9" w:rsidRPr="00A02E99" w:rsidTr="003D1EB9">
        <w:tc>
          <w:tcPr>
            <w:tcW w:w="1812"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Struktura finansowania B+R</w:t>
            </w:r>
          </w:p>
        </w:tc>
        <w:tc>
          <w:tcPr>
            <w:tcW w:w="1812" w:type="dxa"/>
          </w:tcPr>
          <w:p w:rsidR="003D1EB9" w:rsidRPr="00A02E99" w:rsidRDefault="00A02E99" w:rsidP="00A02E99">
            <w:pPr>
              <w:tabs>
                <w:tab w:val="left" w:leader="dot" w:pos="10773"/>
              </w:tabs>
              <w:spacing w:line="240" w:lineRule="auto"/>
              <w:ind w:left="0"/>
              <w:jc w:val="center"/>
              <w:rPr>
                <w:rFonts w:ascii="Times New Roman" w:hAnsi="Times New Roman" w:cs="Times New Roman"/>
                <w:sz w:val="18"/>
                <w:szCs w:val="18"/>
              </w:rPr>
            </w:pPr>
            <w:r w:rsidRPr="00A02E99">
              <w:rPr>
                <w:rFonts w:ascii="Times New Roman" w:hAnsi="Times New Roman" w:cs="Times New Roman"/>
                <w:sz w:val="18"/>
                <w:szCs w:val="18"/>
              </w:rPr>
              <w:t>relatywnie wysoki udział biznesu</w:t>
            </w:r>
          </w:p>
        </w:tc>
        <w:tc>
          <w:tcPr>
            <w:tcW w:w="1812"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spadek udziału biznesu</w:t>
            </w:r>
          </w:p>
        </w:tc>
        <w:tc>
          <w:tcPr>
            <w:tcW w:w="1813"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wysoki i wzrastający udział biznesu</w:t>
            </w:r>
          </w:p>
        </w:tc>
        <w:tc>
          <w:tcPr>
            <w:tcW w:w="1813" w:type="dxa"/>
          </w:tcPr>
          <w:p w:rsidR="003D1EB9" w:rsidRPr="00A02E99" w:rsidRDefault="00A02E99" w:rsidP="00A02E99">
            <w:pPr>
              <w:tabs>
                <w:tab w:val="left" w:leader="dot" w:pos="10773"/>
              </w:tabs>
              <w:spacing w:line="240" w:lineRule="auto"/>
              <w:ind w:left="0"/>
              <w:jc w:val="center"/>
              <w:rPr>
                <w:rFonts w:ascii="Times New Roman" w:hAnsi="Times New Roman" w:cs="Times New Roman"/>
                <w:sz w:val="18"/>
                <w:szCs w:val="18"/>
              </w:rPr>
            </w:pPr>
            <w:r w:rsidRPr="00A02E99">
              <w:rPr>
                <w:rFonts w:ascii="Times New Roman" w:hAnsi="Times New Roman" w:cs="Times New Roman"/>
                <w:sz w:val="18"/>
                <w:szCs w:val="18"/>
              </w:rPr>
              <w:t>-</w:t>
            </w:r>
          </w:p>
        </w:tc>
      </w:tr>
      <w:tr w:rsidR="003D1EB9" w:rsidRPr="00A02E99" w:rsidTr="003D1EB9">
        <w:tc>
          <w:tcPr>
            <w:tcW w:w="1812"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 xml:space="preserve">Struktura realizacji B+R </w:t>
            </w:r>
          </w:p>
        </w:tc>
        <w:tc>
          <w:tcPr>
            <w:tcW w:w="1812" w:type="dxa"/>
          </w:tcPr>
          <w:p w:rsidR="003D1EB9" w:rsidRPr="00A02E99" w:rsidRDefault="00A02E99" w:rsidP="00A02E99">
            <w:pPr>
              <w:tabs>
                <w:tab w:val="left" w:leader="dot" w:pos="10773"/>
              </w:tabs>
              <w:spacing w:line="240" w:lineRule="auto"/>
              <w:ind w:left="0"/>
              <w:jc w:val="center"/>
              <w:rPr>
                <w:rFonts w:ascii="Times New Roman" w:hAnsi="Times New Roman" w:cs="Times New Roman"/>
                <w:sz w:val="18"/>
                <w:szCs w:val="18"/>
              </w:rPr>
            </w:pPr>
            <w:r>
              <w:rPr>
                <w:rFonts w:ascii="Times New Roman" w:hAnsi="Times New Roman" w:cs="Times New Roman"/>
                <w:sz w:val="18"/>
                <w:szCs w:val="18"/>
              </w:rPr>
              <w:t>-</w:t>
            </w:r>
          </w:p>
        </w:tc>
        <w:tc>
          <w:tcPr>
            <w:tcW w:w="1812"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spadek udziału biznesu</w:t>
            </w:r>
          </w:p>
        </w:tc>
        <w:tc>
          <w:tcPr>
            <w:tcW w:w="1813" w:type="dxa"/>
          </w:tcPr>
          <w:p w:rsidR="003D1EB9" w:rsidRPr="00A02E99" w:rsidRDefault="00A02E99" w:rsidP="00A02E9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wysoki i wzrastający udziału biznesu</w:t>
            </w:r>
          </w:p>
        </w:tc>
        <w:tc>
          <w:tcPr>
            <w:tcW w:w="1813"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sidRPr="00A02E99">
              <w:rPr>
                <w:rFonts w:ascii="Times New Roman" w:hAnsi="Times New Roman" w:cs="Times New Roman"/>
                <w:sz w:val="18"/>
                <w:szCs w:val="18"/>
              </w:rPr>
              <w:t>słaba pozycja uczelni</w:t>
            </w:r>
          </w:p>
        </w:tc>
      </w:tr>
      <w:tr w:rsidR="003D1EB9" w:rsidRPr="00A02E99" w:rsidTr="003D1EB9">
        <w:tc>
          <w:tcPr>
            <w:tcW w:w="1812"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Pr>
                <w:rFonts w:ascii="Times New Roman" w:hAnsi="Times New Roman" w:cs="Times New Roman"/>
                <w:sz w:val="18"/>
                <w:szCs w:val="18"/>
              </w:rPr>
              <w:t>Kapitał ludzki</w:t>
            </w:r>
          </w:p>
        </w:tc>
        <w:tc>
          <w:tcPr>
            <w:tcW w:w="1812"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Pr>
                <w:rFonts w:ascii="Times New Roman" w:hAnsi="Times New Roman" w:cs="Times New Roman"/>
                <w:sz w:val="18"/>
                <w:szCs w:val="18"/>
              </w:rPr>
              <w:t>stabilność zasobów</w:t>
            </w:r>
          </w:p>
        </w:tc>
        <w:tc>
          <w:tcPr>
            <w:tcW w:w="1812" w:type="dxa"/>
          </w:tcPr>
          <w:p w:rsidR="003D1EB9" w:rsidRPr="00A02E99" w:rsidRDefault="001D333B" w:rsidP="00A02E99">
            <w:pPr>
              <w:tabs>
                <w:tab w:val="left" w:leader="dot" w:pos="10773"/>
              </w:tabs>
              <w:spacing w:line="240" w:lineRule="auto"/>
              <w:ind w:left="0"/>
              <w:jc w:val="center"/>
              <w:rPr>
                <w:rFonts w:ascii="Times New Roman" w:hAnsi="Times New Roman" w:cs="Times New Roman"/>
                <w:sz w:val="18"/>
                <w:szCs w:val="18"/>
              </w:rPr>
            </w:pPr>
            <w:r>
              <w:rPr>
                <w:rFonts w:ascii="Times New Roman" w:hAnsi="Times New Roman" w:cs="Times New Roman"/>
                <w:sz w:val="18"/>
                <w:szCs w:val="18"/>
              </w:rPr>
              <w:t>Niskie tempo rozwoju zasobów</w:t>
            </w:r>
          </w:p>
        </w:tc>
        <w:tc>
          <w:tcPr>
            <w:tcW w:w="1813"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Pr>
                <w:rFonts w:ascii="Times New Roman" w:hAnsi="Times New Roman" w:cs="Times New Roman"/>
                <w:sz w:val="18"/>
                <w:szCs w:val="18"/>
              </w:rPr>
              <w:t>największe zasoby badaczy</w:t>
            </w:r>
          </w:p>
        </w:tc>
        <w:tc>
          <w:tcPr>
            <w:tcW w:w="1813" w:type="dxa"/>
          </w:tcPr>
          <w:p w:rsidR="003D1EB9" w:rsidRPr="00A02E99" w:rsidRDefault="00A02E99" w:rsidP="00A02E99">
            <w:pPr>
              <w:tabs>
                <w:tab w:val="left" w:leader="dot" w:pos="10773"/>
              </w:tabs>
              <w:spacing w:line="240" w:lineRule="auto"/>
              <w:ind w:left="0"/>
              <w:jc w:val="center"/>
              <w:rPr>
                <w:rFonts w:ascii="Times New Roman" w:hAnsi="Times New Roman" w:cs="Times New Roman"/>
                <w:sz w:val="18"/>
                <w:szCs w:val="18"/>
              </w:rPr>
            </w:pPr>
            <w:r>
              <w:rPr>
                <w:rFonts w:ascii="Times New Roman" w:hAnsi="Times New Roman" w:cs="Times New Roman"/>
                <w:sz w:val="18"/>
                <w:szCs w:val="18"/>
              </w:rPr>
              <w:t>-</w:t>
            </w:r>
          </w:p>
        </w:tc>
      </w:tr>
      <w:tr w:rsidR="003D1EB9" w:rsidRPr="00A02E99" w:rsidTr="003D1EB9">
        <w:tc>
          <w:tcPr>
            <w:tcW w:w="1812" w:type="dxa"/>
          </w:tcPr>
          <w:p w:rsidR="003D1EB9" w:rsidRPr="00A02E99" w:rsidRDefault="001D333B" w:rsidP="003D1EB9">
            <w:pPr>
              <w:tabs>
                <w:tab w:val="left" w:leader="dot" w:pos="10773"/>
              </w:tabs>
              <w:spacing w:line="240" w:lineRule="auto"/>
              <w:ind w:left="0"/>
              <w:rPr>
                <w:rFonts w:ascii="Times New Roman" w:hAnsi="Times New Roman" w:cs="Times New Roman"/>
                <w:sz w:val="18"/>
                <w:szCs w:val="18"/>
              </w:rPr>
            </w:pPr>
            <w:r>
              <w:rPr>
                <w:rFonts w:ascii="Times New Roman" w:hAnsi="Times New Roman" w:cs="Times New Roman"/>
                <w:sz w:val="18"/>
                <w:szCs w:val="18"/>
              </w:rPr>
              <w:t>P</w:t>
            </w:r>
            <w:r w:rsidR="00A02E99">
              <w:rPr>
                <w:rFonts w:ascii="Times New Roman" w:hAnsi="Times New Roman" w:cs="Times New Roman"/>
                <w:sz w:val="18"/>
                <w:szCs w:val="18"/>
              </w:rPr>
              <w:t>atenty</w:t>
            </w:r>
          </w:p>
        </w:tc>
        <w:tc>
          <w:tcPr>
            <w:tcW w:w="1812" w:type="dxa"/>
          </w:tcPr>
          <w:p w:rsidR="003D1EB9" w:rsidRDefault="00A02E99" w:rsidP="003D1EB9">
            <w:pPr>
              <w:tabs>
                <w:tab w:val="left" w:leader="dot" w:pos="10773"/>
              </w:tabs>
              <w:spacing w:line="240" w:lineRule="auto"/>
              <w:ind w:left="0"/>
              <w:rPr>
                <w:rFonts w:ascii="Times New Roman" w:hAnsi="Times New Roman" w:cs="Times New Roman"/>
                <w:sz w:val="18"/>
                <w:szCs w:val="18"/>
              </w:rPr>
            </w:pPr>
            <w:r>
              <w:rPr>
                <w:rFonts w:ascii="Times New Roman" w:hAnsi="Times New Roman" w:cs="Times New Roman"/>
                <w:sz w:val="18"/>
                <w:szCs w:val="18"/>
              </w:rPr>
              <w:t xml:space="preserve">liczba patentów PCT, </w:t>
            </w:r>
          </w:p>
          <w:p w:rsidR="00A02E99" w:rsidRPr="00A02E99" w:rsidRDefault="00A02E99" w:rsidP="00A02E99">
            <w:pPr>
              <w:tabs>
                <w:tab w:val="left" w:leader="dot" w:pos="10773"/>
              </w:tabs>
              <w:spacing w:line="240" w:lineRule="auto"/>
              <w:ind w:left="0"/>
              <w:rPr>
                <w:rFonts w:ascii="Times New Roman" w:hAnsi="Times New Roman" w:cs="Times New Roman"/>
                <w:sz w:val="18"/>
                <w:szCs w:val="18"/>
              </w:rPr>
            </w:pPr>
            <w:r>
              <w:rPr>
                <w:rFonts w:ascii="Times New Roman" w:hAnsi="Times New Roman" w:cs="Times New Roman"/>
                <w:sz w:val="18"/>
                <w:szCs w:val="18"/>
              </w:rPr>
              <w:t>liczba patentów triadycznych</w:t>
            </w:r>
          </w:p>
        </w:tc>
        <w:tc>
          <w:tcPr>
            <w:tcW w:w="1812" w:type="dxa"/>
          </w:tcPr>
          <w:p w:rsidR="003D1EB9" w:rsidRPr="00A02E99" w:rsidRDefault="00A02E99" w:rsidP="00A02E99">
            <w:pPr>
              <w:tabs>
                <w:tab w:val="left" w:leader="dot" w:pos="10773"/>
              </w:tabs>
              <w:spacing w:line="240" w:lineRule="auto"/>
              <w:ind w:left="0"/>
              <w:jc w:val="center"/>
              <w:rPr>
                <w:rFonts w:ascii="Times New Roman" w:hAnsi="Times New Roman" w:cs="Times New Roman"/>
                <w:sz w:val="18"/>
                <w:szCs w:val="18"/>
              </w:rPr>
            </w:pPr>
            <w:r>
              <w:rPr>
                <w:rFonts w:ascii="Times New Roman" w:hAnsi="Times New Roman" w:cs="Times New Roman"/>
                <w:sz w:val="18"/>
                <w:szCs w:val="18"/>
              </w:rPr>
              <w:t>-</w:t>
            </w:r>
          </w:p>
        </w:tc>
        <w:tc>
          <w:tcPr>
            <w:tcW w:w="1813"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Pr>
                <w:rFonts w:ascii="Times New Roman" w:hAnsi="Times New Roman" w:cs="Times New Roman"/>
                <w:sz w:val="18"/>
                <w:szCs w:val="18"/>
              </w:rPr>
              <w:t>Tempo wzrostu aplikacji</w:t>
            </w:r>
          </w:p>
        </w:tc>
        <w:tc>
          <w:tcPr>
            <w:tcW w:w="1813" w:type="dxa"/>
          </w:tcPr>
          <w:p w:rsidR="003D1EB9" w:rsidRPr="00A02E99" w:rsidRDefault="00A02E99" w:rsidP="003D1EB9">
            <w:pPr>
              <w:tabs>
                <w:tab w:val="left" w:leader="dot" w:pos="10773"/>
              </w:tabs>
              <w:spacing w:line="240" w:lineRule="auto"/>
              <w:ind w:left="0"/>
              <w:rPr>
                <w:rFonts w:ascii="Times New Roman" w:hAnsi="Times New Roman" w:cs="Times New Roman"/>
                <w:sz w:val="18"/>
                <w:szCs w:val="18"/>
              </w:rPr>
            </w:pPr>
            <w:r>
              <w:rPr>
                <w:rFonts w:ascii="Times New Roman" w:hAnsi="Times New Roman" w:cs="Times New Roman"/>
                <w:sz w:val="18"/>
                <w:szCs w:val="18"/>
              </w:rPr>
              <w:t>Duży dystans do lidera w patentach triadycznych</w:t>
            </w:r>
          </w:p>
        </w:tc>
      </w:tr>
    </w:tbl>
    <w:p w:rsidR="003D1EB9" w:rsidRDefault="00A02E99" w:rsidP="003D1EB9">
      <w:pPr>
        <w:tabs>
          <w:tab w:val="left" w:leader="dot" w:pos="10773"/>
        </w:tabs>
        <w:ind w:left="0"/>
        <w:rPr>
          <w:rFonts w:ascii="Times New Roman" w:hAnsi="Times New Roman" w:cs="Times New Roman"/>
          <w:sz w:val="20"/>
          <w:szCs w:val="20"/>
        </w:rPr>
      </w:pPr>
      <w:r w:rsidRPr="00A02E99">
        <w:rPr>
          <w:rFonts w:ascii="Times New Roman" w:hAnsi="Times New Roman" w:cs="Times New Roman"/>
          <w:sz w:val="20"/>
          <w:szCs w:val="20"/>
        </w:rPr>
        <w:t>Źródło: opracowanie własne.</w:t>
      </w:r>
    </w:p>
    <w:p w:rsidR="00A02E99" w:rsidRPr="00A02E99" w:rsidRDefault="00A02E99" w:rsidP="003D1EB9">
      <w:pPr>
        <w:tabs>
          <w:tab w:val="left" w:leader="dot" w:pos="10773"/>
        </w:tabs>
        <w:ind w:left="0"/>
        <w:rPr>
          <w:rFonts w:ascii="Times New Roman" w:hAnsi="Times New Roman" w:cs="Times New Roman"/>
          <w:sz w:val="20"/>
          <w:szCs w:val="20"/>
        </w:rPr>
      </w:pPr>
    </w:p>
    <w:p w:rsidR="0055721F" w:rsidRDefault="001B309C" w:rsidP="0055721F">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T</w:t>
      </w:r>
      <w:r w:rsidR="0055721F">
        <w:rPr>
          <w:rFonts w:ascii="Times New Roman" w:hAnsi="Times New Roman" w:cs="Times New Roman"/>
          <w:sz w:val="24"/>
          <w:szCs w:val="24"/>
        </w:rPr>
        <w:t>a nowa architektura globalnej działalności B+R z dwoma krajami na czele, prowadzi do swoistej specjalizacji USA i Chin. Jak już wskazano, wydaje się, że Stany Zjednoczone pozostaną liderem w tworzeniu wiedzy (zwłaszcza w badaniach podstawowych), na co wskazuje najwyższy poziom nakładów B+R na badania podstawowe oraz ogromna przewaga nad Chinami w zgłoszeniach patentowych o zasięgu międzynarodowym. Z kolei Chiny mają szansę stać się liderem komercjalizacji wiedzy z uwagi na silne osadzenie B+R w sferze biznesu oraz koncentrację działalności badawczo-rozwojowej na badaniach rozwojowych, przy czym wykazano, że takie ukierunkowanie chińskich B</w:t>
      </w:r>
      <w:r w:rsidR="00A76709">
        <w:rPr>
          <w:rFonts w:ascii="Times New Roman" w:hAnsi="Times New Roman" w:cs="Times New Roman"/>
          <w:sz w:val="24"/>
          <w:szCs w:val="24"/>
        </w:rPr>
        <w:t>+R cały czas się wzmacnia. S</w:t>
      </w:r>
      <w:r w:rsidR="0055721F">
        <w:rPr>
          <w:rFonts w:ascii="Times New Roman" w:hAnsi="Times New Roman" w:cs="Times New Roman"/>
          <w:sz w:val="24"/>
          <w:szCs w:val="24"/>
        </w:rPr>
        <w:t>pecjalizacji głównych graczy oraz rywalizacji towarzyszą procesy zacieśniania współpracy badawczo-rozwojowej pomiędzy nimi, co pośrednio wskazuje na docenianie przez USA wzrastającej roli Chin w globalnych B+R. Ta wzajemna współpraca odbywa się na wielu płaszczyznach (pomiędzy uniwersytetami, uniwersytetami a przedsiębiorstwami oraz przedsięb</w:t>
      </w:r>
      <w:r w:rsidR="00023707">
        <w:rPr>
          <w:rFonts w:ascii="Times New Roman" w:hAnsi="Times New Roman" w:cs="Times New Roman"/>
          <w:sz w:val="24"/>
          <w:szCs w:val="24"/>
        </w:rPr>
        <w:t>iorstwami), ale co najistotniejsze,</w:t>
      </w:r>
      <w:r w:rsidR="0055721F">
        <w:rPr>
          <w:rFonts w:ascii="Times New Roman" w:hAnsi="Times New Roman" w:cs="Times New Roman"/>
          <w:sz w:val="24"/>
          <w:szCs w:val="24"/>
        </w:rPr>
        <w:t xml:space="preserve"> dla obu partnerów staje się najważniejszym kierunkiem zainteresowania </w:t>
      </w:r>
      <w:r w:rsidR="00B74686">
        <w:rPr>
          <w:rFonts w:ascii="Times New Roman" w:hAnsi="Times New Roman" w:cs="Times New Roman"/>
          <w:sz w:val="24"/>
          <w:szCs w:val="24"/>
        </w:rPr>
        <w:t xml:space="preserve">współpracą </w:t>
      </w:r>
      <w:r w:rsidR="0055721F">
        <w:rPr>
          <w:rFonts w:ascii="Times New Roman" w:hAnsi="Times New Roman" w:cs="Times New Roman"/>
          <w:sz w:val="24"/>
          <w:szCs w:val="24"/>
        </w:rPr>
        <w:t>(</w:t>
      </w:r>
      <w:r w:rsidR="0055721F" w:rsidRPr="00DD7B39">
        <w:rPr>
          <w:rFonts w:ascii="Times New Roman" w:hAnsi="Times New Roman" w:cs="Times New Roman"/>
          <w:sz w:val="24"/>
          <w:szCs w:val="24"/>
        </w:rPr>
        <w:t>Huang,</w:t>
      </w:r>
      <w:r w:rsidR="0055721F">
        <w:rPr>
          <w:rFonts w:ascii="Times New Roman" w:hAnsi="Times New Roman" w:cs="Times New Roman"/>
          <w:sz w:val="24"/>
          <w:szCs w:val="24"/>
        </w:rPr>
        <w:t xml:space="preserve"> </w:t>
      </w:r>
      <w:r w:rsidR="0055721F" w:rsidRPr="00DD7B39">
        <w:rPr>
          <w:rFonts w:ascii="Times New Roman" w:hAnsi="Times New Roman" w:cs="Times New Roman"/>
          <w:sz w:val="24"/>
          <w:szCs w:val="24"/>
        </w:rPr>
        <w:t>Sharif, 2015</w:t>
      </w:r>
      <w:r w:rsidR="0055721F">
        <w:rPr>
          <w:rFonts w:ascii="Times New Roman" w:hAnsi="Times New Roman" w:cs="Times New Roman"/>
          <w:sz w:val="24"/>
          <w:szCs w:val="24"/>
        </w:rPr>
        <w:t xml:space="preserve">; Wang i in., 2013; </w:t>
      </w:r>
      <w:r w:rsidR="0055721F" w:rsidRPr="000E7922">
        <w:rPr>
          <w:rFonts w:ascii="Times New Roman" w:hAnsi="Times New Roman" w:cs="Times New Roman"/>
          <w:sz w:val="24"/>
          <w:szCs w:val="24"/>
        </w:rPr>
        <w:t>Di Minin, Zhang, Gammeltoft</w:t>
      </w:r>
      <w:r w:rsidR="0055721F">
        <w:rPr>
          <w:rFonts w:ascii="Times New Roman" w:hAnsi="Times New Roman" w:cs="Times New Roman"/>
          <w:sz w:val="24"/>
          <w:szCs w:val="24"/>
        </w:rPr>
        <w:t>,</w:t>
      </w:r>
      <w:r w:rsidR="0055721F" w:rsidRPr="000E7922">
        <w:rPr>
          <w:rFonts w:ascii="Times New Roman" w:hAnsi="Times New Roman" w:cs="Times New Roman"/>
          <w:sz w:val="24"/>
          <w:szCs w:val="24"/>
        </w:rPr>
        <w:t xml:space="preserve"> 2012</w:t>
      </w:r>
      <w:r w:rsidR="0055721F">
        <w:rPr>
          <w:rFonts w:ascii="Times New Roman" w:hAnsi="Times New Roman" w:cs="Times New Roman"/>
          <w:sz w:val="24"/>
          <w:szCs w:val="24"/>
        </w:rPr>
        <w:t xml:space="preserve">; </w:t>
      </w:r>
      <w:r w:rsidR="00CD5563">
        <w:rPr>
          <w:rFonts w:ascii="Times New Roman" w:hAnsi="Times New Roman" w:cs="Times New Roman"/>
          <w:sz w:val="24"/>
          <w:szCs w:val="24"/>
        </w:rPr>
        <w:t>Li. 2010).</w:t>
      </w:r>
    </w:p>
    <w:p w:rsidR="005B230F" w:rsidRDefault="005B230F" w:rsidP="005B230F">
      <w:pPr>
        <w:tabs>
          <w:tab w:val="left" w:leader="dot" w:pos="10773"/>
        </w:tabs>
        <w:ind w:left="0" w:firstLine="709"/>
        <w:rPr>
          <w:rFonts w:ascii="Times New Roman" w:hAnsi="Times New Roman" w:cs="Times New Roman"/>
          <w:sz w:val="24"/>
          <w:szCs w:val="24"/>
        </w:rPr>
      </w:pPr>
      <w:r>
        <w:rPr>
          <w:rFonts w:ascii="Times New Roman" w:hAnsi="Times New Roman" w:cs="Times New Roman"/>
          <w:sz w:val="24"/>
          <w:szCs w:val="24"/>
        </w:rPr>
        <w:t>Należy także uznać za prawdop</w:t>
      </w:r>
      <w:r w:rsidR="0055721F">
        <w:rPr>
          <w:rFonts w:ascii="Times New Roman" w:hAnsi="Times New Roman" w:cs="Times New Roman"/>
          <w:sz w:val="24"/>
          <w:szCs w:val="24"/>
        </w:rPr>
        <w:t>odobne, że Stany Zjednoczone</w:t>
      </w:r>
      <w:r>
        <w:rPr>
          <w:rFonts w:ascii="Times New Roman" w:hAnsi="Times New Roman" w:cs="Times New Roman"/>
          <w:sz w:val="24"/>
          <w:szCs w:val="24"/>
        </w:rPr>
        <w:t xml:space="preserve"> w reakcji na zagrożenie utraty pozycji lidera, będą mobilizować wysiłki w stronę wzmocnienia swojego potencjału B+R. Jeżeli faktycznie nastąpiłoby przyspi</w:t>
      </w:r>
      <w:r w:rsidR="00023707">
        <w:rPr>
          <w:rFonts w:ascii="Times New Roman" w:hAnsi="Times New Roman" w:cs="Times New Roman"/>
          <w:sz w:val="24"/>
          <w:szCs w:val="24"/>
        </w:rPr>
        <w:t>eszenie postępu technologicznego</w:t>
      </w:r>
      <w:r>
        <w:rPr>
          <w:rFonts w:ascii="Times New Roman" w:hAnsi="Times New Roman" w:cs="Times New Roman"/>
          <w:sz w:val="24"/>
          <w:szCs w:val="24"/>
        </w:rPr>
        <w:t xml:space="preserve"> w USA, to pozytywne skutki wystąpiłyby w całej gospodarce światowej. Można byłoby wówczas </w:t>
      </w:r>
      <w:r>
        <w:rPr>
          <w:rFonts w:ascii="Times New Roman" w:hAnsi="Times New Roman" w:cs="Times New Roman"/>
          <w:sz w:val="24"/>
          <w:szCs w:val="24"/>
        </w:rPr>
        <w:lastRenderedPageBreak/>
        <w:t xml:space="preserve">spodziewać się wzmocnienia fali akceleracji postępu technologicznego. </w:t>
      </w:r>
      <w:r w:rsidR="005D3C04">
        <w:rPr>
          <w:rFonts w:ascii="Times New Roman" w:hAnsi="Times New Roman" w:cs="Times New Roman"/>
          <w:sz w:val="24"/>
          <w:szCs w:val="24"/>
        </w:rPr>
        <w:t>Wydaje się, że pewne plany obrony pozycji lidera został</w:t>
      </w:r>
      <w:r w:rsidR="00023707">
        <w:rPr>
          <w:rFonts w:ascii="Times New Roman" w:hAnsi="Times New Roman" w:cs="Times New Roman"/>
          <w:sz w:val="24"/>
          <w:szCs w:val="24"/>
        </w:rPr>
        <w:t>y już przygotowane, a nawet wdraża</w:t>
      </w:r>
      <w:r w:rsidR="005D3C04">
        <w:rPr>
          <w:rFonts w:ascii="Times New Roman" w:hAnsi="Times New Roman" w:cs="Times New Roman"/>
          <w:sz w:val="24"/>
          <w:szCs w:val="24"/>
        </w:rPr>
        <w:t>ne, gdyż</w:t>
      </w:r>
      <w:r w:rsidR="00730CA8">
        <w:rPr>
          <w:rFonts w:ascii="Times New Roman" w:hAnsi="Times New Roman" w:cs="Times New Roman"/>
          <w:sz w:val="24"/>
          <w:szCs w:val="24"/>
        </w:rPr>
        <w:t xml:space="preserve"> nieoficjalne dane wskazują na przyspieszenie inwestycji B+R w USA</w:t>
      </w:r>
      <w:r w:rsidR="0055721F">
        <w:rPr>
          <w:rFonts w:ascii="Times New Roman" w:hAnsi="Times New Roman" w:cs="Times New Roman"/>
          <w:sz w:val="24"/>
          <w:szCs w:val="24"/>
        </w:rPr>
        <w:t xml:space="preserve"> w ostatni</w:t>
      </w:r>
      <w:r w:rsidR="00A76709">
        <w:rPr>
          <w:rFonts w:ascii="Times New Roman" w:hAnsi="Times New Roman" w:cs="Times New Roman"/>
          <w:sz w:val="24"/>
          <w:szCs w:val="24"/>
        </w:rPr>
        <w:t>m czasie</w:t>
      </w:r>
      <w:r w:rsidR="00730CA8">
        <w:rPr>
          <w:rFonts w:ascii="Times New Roman" w:hAnsi="Times New Roman" w:cs="Times New Roman"/>
          <w:sz w:val="24"/>
          <w:szCs w:val="24"/>
        </w:rPr>
        <w:t xml:space="preserve"> oraz poszukiwanie rozwiązań na dynamizowanie B+R, w tym także poprzez analizę sukcesu Chin (</w:t>
      </w:r>
      <w:r w:rsidR="00730CA8" w:rsidRPr="00DD7B39">
        <w:rPr>
          <w:rFonts w:ascii="Times New Roman" w:hAnsi="Times New Roman" w:cs="Times New Roman"/>
          <w:sz w:val="24"/>
          <w:szCs w:val="24"/>
        </w:rPr>
        <w:t>Morrison</w:t>
      </w:r>
      <w:r w:rsidR="00730CA8">
        <w:rPr>
          <w:rFonts w:ascii="Times New Roman" w:hAnsi="Times New Roman" w:cs="Times New Roman"/>
          <w:sz w:val="24"/>
          <w:szCs w:val="24"/>
        </w:rPr>
        <w:t xml:space="preserve">, 2014; </w:t>
      </w:r>
      <w:r w:rsidR="00CD5563" w:rsidRPr="00730CA8">
        <w:rPr>
          <w:rFonts w:ascii="Times New Roman" w:hAnsi="Times New Roman" w:cs="Times New Roman"/>
          <w:sz w:val="24"/>
          <w:szCs w:val="24"/>
        </w:rPr>
        <w:t>Fernald</w:t>
      </w:r>
      <w:r w:rsidR="00CD5563" w:rsidRPr="00730CA8">
        <w:rPr>
          <w:rFonts w:ascii="Times New Roman" w:hAnsi="Times New Roman" w:cs="Times New Roman"/>
          <w:bCs/>
          <w:sz w:val="24"/>
          <w:szCs w:val="24"/>
        </w:rPr>
        <w:t xml:space="preserve">, </w:t>
      </w:r>
      <w:r w:rsidR="00CD5563">
        <w:rPr>
          <w:rFonts w:ascii="Times New Roman" w:hAnsi="Times New Roman" w:cs="Times New Roman"/>
          <w:bCs/>
          <w:sz w:val="24"/>
          <w:szCs w:val="24"/>
        </w:rPr>
        <w:t xml:space="preserve">Jones, </w:t>
      </w:r>
      <w:r w:rsidR="00CD5563" w:rsidRPr="00730CA8">
        <w:rPr>
          <w:rFonts w:ascii="Times New Roman" w:hAnsi="Times New Roman" w:cs="Times New Roman"/>
          <w:bCs/>
          <w:sz w:val="24"/>
          <w:szCs w:val="24"/>
        </w:rPr>
        <w:t>2014</w:t>
      </w:r>
      <w:r w:rsidR="00CD5563">
        <w:rPr>
          <w:rFonts w:ascii="Times New Roman" w:hAnsi="Times New Roman" w:cs="Times New Roman"/>
          <w:bCs/>
          <w:sz w:val="24"/>
          <w:szCs w:val="24"/>
        </w:rPr>
        <w:t xml:space="preserve">; </w:t>
      </w:r>
      <w:r w:rsidR="00730CA8">
        <w:rPr>
          <w:rFonts w:ascii="Times New Roman" w:hAnsi="Times New Roman" w:cs="Times New Roman"/>
          <w:sz w:val="24"/>
          <w:szCs w:val="24"/>
        </w:rPr>
        <w:t>Nolan, 2012</w:t>
      </w:r>
      <w:r w:rsidR="00023707">
        <w:rPr>
          <w:rFonts w:ascii="Times New Roman" w:hAnsi="Times New Roman" w:cs="Times New Roman"/>
          <w:bCs/>
          <w:sz w:val="24"/>
          <w:szCs w:val="24"/>
        </w:rPr>
        <w:t>).</w:t>
      </w:r>
    </w:p>
    <w:p w:rsidR="000857CA" w:rsidRPr="00097AC6" w:rsidRDefault="000857CA" w:rsidP="000474E4">
      <w:pPr>
        <w:tabs>
          <w:tab w:val="left" w:leader="dot" w:pos="10773"/>
        </w:tabs>
        <w:ind w:left="0"/>
        <w:rPr>
          <w:rFonts w:ascii="Times New Roman" w:hAnsi="Times New Roman" w:cs="Times New Roman"/>
          <w:sz w:val="24"/>
          <w:szCs w:val="24"/>
        </w:rPr>
      </w:pPr>
    </w:p>
    <w:p w:rsidR="000474E4" w:rsidRDefault="000474E4" w:rsidP="000474E4">
      <w:pPr>
        <w:tabs>
          <w:tab w:val="left" w:leader="dot" w:pos="10773"/>
        </w:tabs>
        <w:ind w:left="0"/>
        <w:rPr>
          <w:rFonts w:ascii="Times New Roman" w:hAnsi="Times New Roman" w:cs="Times New Roman"/>
          <w:b/>
          <w:sz w:val="24"/>
          <w:szCs w:val="24"/>
        </w:rPr>
      </w:pPr>
      <w:r>
        <w:rPr>
          <w:rFonts w:ascii="Times New Roman" w:hAnsi="Times New Roman" w:cs="Times New Roman"/>
          <w:b/>
          <w:sz w:val="24"/>
          <w:szCs w:val="24"/>
        </w:rPr>
        <w:t xml:space="preserve">Podsumowanie </w:t>
      </w:r>
    </w:p>
    <w:p w:rsidR="00BD4A80" w:rsidRDefault="00541F13" w:rsidP="000474E4">
      <w:pPr>
        <w:ind w:left="0"/>
        <w:rPr>
          <w:rFonts w:ascii="Times New Roman" w:hAnsi="Times New Roman" w:cs="Times New Roman"/>
          <w:sz w:val="24"/>
          <w:szCs w:val="24"/>
        </w:rPr>
      </w:pPr>
      <w:r>
        <w:rPr>
          <w:rFonts w:ascii="Times New Roman" w:hAnsi="Times New Roman" w:cs="Times New Roman"/>
          <w:sz w:val="24"/>
          <w:szCs w:val="24"/>
        </w:rPr>
        <w:t xml:space="preserve">Reasumując, można stwierdzić, że Chiny nawiązały ze Stanami Zjednoczonymi rywalizację w globalnej działalności badawczo-rozwojowej. Tradycyjny lider B+R jest zagrożony przez bardzo dynamicznie rozwijającą się gospodarkę chińską. Dotychczasowe tempo wzrostu potencjału badawczo-rozwojowego Chin daje podstawy do uprawdopodobnienia się przejęcia przywództwa w </w:t>
      </w:r>
      <w:r w:rsidR="00A76709">
        <w:rPr>
          <w:rFonts w:ascii="Times New Roman" w:hAnsi="Times New Roman" w:cs="Times New Roman"/>
          <w:sz w:val="24"/>
          <w:szCs w:val="24"/>
        </w:rPr>
        <w:t xml:space="preserve">wybranych kategoriach </w:t>
      </w:r>
      <w:r>
        <w:rPr>
          <w:rFonts w:ascii="Times New Roman" w:hAnsi="Times New Roman" w:cs="Times New Roman"/>
          <w:sz w:val="24"/>
          <w:szCs w:val="24"/>
        </w:rPr>
        <w:t>globalnej działalności B+R. Jednak wydaje się, że pozycja US</w:t>
      </w:r>
      <w:r w:rsidR="00E93B35">
        <w:rPr>
          <w:rFonts w:ascii="Times New Roman" w:hAnsi="Times New Roman" w:cs="Times New Roman"/>
          <w:sz w:val="24"/>
          <w:szCs w:val="24"/>
        </w:rPr>
        <w:t>A w tworzeniu wiedzy</w:t>
      </w:r>
      <w:r>
        <w:rPr>
          <w:rFonts w:ascii="Times New Roman" w:hAnsi="Times New Roman" w:cs="Times New Roman"/>
          <w:sz w:val="24"/>
          <w:szCs w:val="24"/>
        </w:rPr>
        <w:t xml:space="preserve"> nie jest na razie zagrożona</w:t>
      </w:r>
      <w:r w:rsidR="00E93B35">
        <w:rPr>
          <w:rFonts w:ascii="Times New Roman" w:hAnsi="Times New Roman" w:cs="Times New Roman"/>
          <w:sz w:val="24"/>
          <w:szCs w:val="24"/>
        </w:rPr>
        <w:t>, o czym świadczy niekwestionowane przywództwo w zakresie zgłoszeń patentowych</w:t>
      </w:r>
      <w:r>
        <w:rPr>
          <w:rFonts w:ascii="Times New Roman" w:hAnsi="Times New Roman" w:cs="Times New Roman"/>
          <w:sz w:val="24"/>
          <w:szCs w:val="24"/>
        </w:rPr>
        <w:t>. Można wnioskować, że kształtujący się nowy układ w działalności badawczo-rozwojowej cechować się będzie dominacją USA w tworzeniu wiedzy oraz dominacją Chin w jej komercjalizacji dzięki wyspecjalizowaniu się w badaniach rozwojowych i silnemu bazowaniu w finansowaniu i realizacji nakładów B+R</w:t>
      </w:r>
      <w:r w:rsidR="00451FCA">
        <w:rPr>
          <w:rFonts w:ascii="Times New Roman" w:hAnsi="Times New Roman" w:cs="Times New Roman"/>
          <w:sz w:val="24"/>
          <w:szCs w:val="24"/>
        </w:rPr>
        <w:t xml:space="preserve"> na sferze przedsiębiorstw</w:t>
      </w:r>
      <w:r w:rsidR="00E93B35">
        <w:rPr>
          <w:rFonts w:ascii="Times New Roman" w:hAnsi="Times New Roman" w:cs="Times New Roman"/>
          <w:sz w:val="24"/>
          <w:szCs w:val="24"/>
        </w:rPr>
        <w:t>.</w:t>
      </w:r>
    </w:p>
    <w:p w:rsidR="00E93B35" w:rsidRDefault="00E93B35" w:rsidP="00E93B35">
      <w:pPr>
        <w:ind w:left="0" w:firstLine="709"/>
        <w:rPr>
          <w:rFonts w:ascii="Times New Roman" w:hAnsi="Times New Roman" w:cs="Times New Roman"/>
          <w:sz w:val="24"/>
          <w:szCs w:val="24"/>
        </w:rPr>
      </w:pPr>
      <w:r>
        <w:rPr>
          <w:rFonts w:ascii="Times New Roman" w:hAnsi="Times New Roman" w:cs="Times New Roman"/>
          <w:sz w:val="24"/>
          <w:szCs w:val="24"/>
        </w:rPr>
        <w:t>Ta sytuacja może spowodować mobilizację po stronie dotychczasowego lidera i zwiększenie inwestycji B+R, co znalazłoby odzwierciedlenie w przyspieszeniu postępu technologicznego całej gospodarki światowej. Wydaje się także, że obecnie konstytuuje się nowy globalny układ c</w:t>
      </w:r>
      <w:r w:rsidR="00451FCA">
        <w:rPr>
          <w:rFonts w:ascii="Times New Roman" w:hAnsi="Times New Roman" w:cs="Times New Roman"/>
          <w:sz w:val="24"/>
          <w:szCs w:val="24"/>
        </w:rPr>
        <w:t>entrów badawczo-rozwojowych</w:t>
      </w:r>
      <w:r>
        <w:rPr>
          <w:rFonts w:ascii="Times New Roman" w:hAnsi="Times New Roman" w:cs="Times New Roman"/>
          <w:sz w:val="24"/>
          <w:szCs w:val="24"/>
        </w:rPr>
        <w:t>.</w:t>
      </w:r>
    </w:p>
    <w:p w:rsidR="00E93B35" w:rsidRDefault="00E93B35" w:rsidP="00E93B35">
      <w:pPr>
        <w:ind w:left="0" w:firstLine="709"/>
        <w:rPr>
          <w:rFonts w:ascii="Times New Roman" w:hAnsi="Times New Roman" w:cs="Times New Roman"/>
          <w:sz w:val="24"/>
          <w:szCs w:val="24"/>
        </w:rPr>
      </w:pPr>
      <w:r>
        <w:rPr>
          <w:rFonts w:ascii="Times New Roman" w:hAnsi="Times New Roman" w:cs="Times New Roman"/>
          <w:sz w:val="24"/>
          <w:szCs w:val="24"/>
        </w:rPr>
        <w:t xml:space="preserve">Dalsze badania </w:t>
      </w:r>
      <w:r w:rsidR="006201EB">
        <w:rPr>
          <w:rFonts w:ascii="Times New Roman" w:hAnsi="Times New Roman" w:cs="Times New Roman"/>
          <w:sz w:val="24"/>
          <w:szCs w:val="24"/>
        </w:rPr>
        <w:t xml:space="preserve">nad przemianami globalnej działalności B+R </w:t>
      </w:r>
      <w:r>
        <w:rPr>
          <w:rFonts w:ascii="Times New Roman" w:hAnsi="Times New Roman" w:cs="Times New Roman"/>
          <w:sz w:val="24"/>
          <w:szCs w:val="24"/>
        </w:rPr>
        <w:t>skierowane będą na pogłęb</w:t>
      </w:r>
      <w:r w:rsidR="006201EB">
        <w:rPr>
          <w:rFonts w:ascii="Times New Roman" w:hAnsi="Times New Roman" w:cs="Times New Roman"/>
          <w:sz w:val="24"/>
          <w:szCs w:val="24"/>
        </w:rPr>
        <w:t xml:space="preserve">ienie analiz skoncentrowanych na identyfikacji przewag </w:t>
      </w:r>
      <w:r w:rsidR="00BA3EDE">
        <w:rPr>
          <w:rFonts w:ascii="Times New Roman" w:hAnsi="Times New Roman" w:cs="Times New Roman"/>
          <w:sz w:val="24"/>
          <w:szCs w:val="24"/>
        </w:rPr>
        <w:t xml:space="preserve">USA i Chin </w:t>
      </w:r>
      <w:r w:rsidR="006201EB">
        <w:rPr>
          <w:rFonts w:ascii="Times New Roman" w:hAnsi="Times New Roman" w:cs="Times New Roman"/>
          <w:sz w:val="24"/>
          <w:szCs w:val="24"/>
        </w:rPr>
        <w:t xml:space="preserve">w działalności badawczo-rozwojowej w poszczególnych sektorach, co pozwoli na pełniejsze zrozumienie </w:t>
      </w:r>
      <w:r w:rsidR="00023707">
        <w:rPr>
          <w:rFonts w:ascii="Times New Roman" w:hAnsi="Times New Roman" w:cs="Times New Roman"/>
          <w:sz w:val="24"/>
          <w:szCs w:val="24"/>
        </w:rPr>
        <w:t xml:space="preserve">kształtującej się </w:t>
      </w:r>
      <w:r w:rsidR="006201EB">
        <w:rPr>
          <w:rFonts w:ascii="Times New Roman" w:hAnsi="Times New Roman" w:cs="Times New Roman"/>
          <w:sz w:val="24"/>
          <w:szCs w:val="24"/>
        </w:rPr>
        <w:t>architektury współczesnej działalności B+R.</w:t>
      </w:r>
    </w:p>
    <w:p w:rsidR="000474E4" w:rsidRDefault="000474E4" w:rsidP="000474E4">
      <w:pPr>
        <w:ind w:left="0"/>
        <w:rPr>
          <w:rFonts w:ascii="Times New Roman" w:hAnsi="Times New Roman" w:cs="Times New Roman"/>
          <w:sz w:val="24"/>
          <w:szCs w:val="24"/>
        </w:rPr>
      </w:pPr>
    </w:p>
    <w:p w:rsidR="00060DDF" w:rsidRPr="00060DDF" w:rsidRDefault="00CD67DC" w:rsidP="00060DDF">
      <w:pPr>
        <w:ind w:left="0"/>
        <w:rPr>
          <w:rFonts w:ascii="Times New Roman" w:hAnsi="Times New Roman" w:cs="Times New Roman"/>
          <w:b/>
          <w:sz w:val="24"/>
          <w:szCs w:val="24"/>
        </w:rPr>
      </w:pPr>
      <w:r>
        <w:rPr>
          <w:rFonts w:ascii="Times New Roman" w:hAnsi="Times New Roman" w:cs="Times New Roman"/>
          <w:b/>
          <w:sz w:val="24"/>
          <w:szCs w:val="24"/>
        </w:rPr>
        <w:t>Literatura</w:t>
      </w:r>
    </w:p>
    <w:p w:rsidR="004D19D2" w:rsidRPr="00107F4C" w:rsidRDefault="004D19D2" w:rsidP="00107F4C">
      <w:pPr>
        <w:spacing w:after="120" w:line="240" w:lineRule="auto"/>
        <w:ind w:left="540" w:hanging="540"/>
        <w:rPr>
          <w:rFonts w:ascii="Times New Roman" w:hAnsi="Times New Roman" w:cs="Times New Roman"/>
          <w:sz w:val="24"/>
          <w:szCs w:val="24"/>
          <w:lang w:val="en-US"/>
        </w:rPr>
      </w:pPr>
      <w:r>
        <w:rPr>
          <w:rFonts w:ascii="Times New Roman" w:hAnsi="Times New Roman" w:cs="Times New Roman"/>
          <w:sz w:val="24"/>
          <w:szCs w:val="24"/>
          <w:lang w:val="en-US"/>
        </w:rPr>
        <w:t>Autor</w:t>
      </w:r>
      <w:r>
        <w:rPr>
          <w:rFonts w:ascii="Times New Roman" w:eastAsia="MinionPro-Regular" w:hAnsi="Times New Roman" w:cs="Times New Roman"/>
          <w:sz w:val="24"/>
          <w:szCs w:val="24"/>
        </w:rPr>
        <w:t>.</w:t>
      </w:r>
    </w:p>
    <w:p w:rsidR="004D19D2" w:rsidRDefault="004D19D2" w:rsidP="00107F4C">
      <w:pPr>
        <w:spacing w:after="120" w:line="240" w:lineRule="auto"/>
        <w:ind w:left="540" w:hanging="540"/>
        <w:rPr>
          <w:rStyle w:val="A2"/>
          <w:rFonts w:ascii="Times New Roman" w:hAnsi="Times New Roman" w:cs="Times New Roman"/>
          <w:i w:val="0"/>
          <w:sz w:val="24"/>
          <w:szCs w:val="24"/>
        </w:rPr>
      </w:pPr>
      <w:r>
        <w:rPr>
          <w:rFonts w:ascii="Times New Roman" w:hAnsi="Times New Roman" w:cs="Times New Roman"/>
          <w:bCs/>
          <w:sz w:val="24"/>
          <w:szCs w:val="24"/>
        </w:rPr>
        <w:t>Autor</w:t>
      </w:r>
      <w:r w:rsidRPr="00107F4C">
        <w:rPr>
          <w:rStyle w:val="A2"/>
          <w:rFonts w:ascii="Times New Roman" w:hAnsi="Times New Roman" w:cs="Times New Roman"/>
          <w:i w:val="0"/>
          <w:sz w:val="24"/>
          <w:szCs w:val="24"/>
        </w:rPr>
        <w:t>.</w:t>
      </w:r>
    </w:p>
    <w:p w:rsidR="004D19D2" w:rsidRPr="0055721F" w:rsidRDefault="004D19D2" w:rsidP="00023707">
      <w:pPr>
        <w:spacing w:after="120" w:line="240" w:lineRule="auto"/>
        <w:ind w:left="539" w:hanging="539"/>
        <w:rPr>
          <w:rFonts w:ascii="Times New Roman" w:hAnsi="Times New Roman" w:cs="Times New Roman"/>
          <w:sz w:val="24"/>
          <w:szCs w:val="24"/>
        </w:rPr>
      </w:pPr>
      <w:r>
        <w:rPr>
          <w:rFonts w:ascii="Times New Roman" w:hAnsi="Times New Roman" w:cs="Times New Roman"/>
          <w:sz w:val="24"/>
          <w:szCs w:val="24"/>
        </w:rPr>
        <w:t>Autor.</w:t>
      </w:r>
    </w:p>
    <w:p w:rsidR="004D19D2" w:rsidRDefault="004D19D2" w:rsidP="00117D38">
      <w:pPr>
        <w:spacing w:after="120" w:line="240" w:lineRule="auto"/>
        <w:ind w:left="539" w:hanging="539"/>
        <w:rPr>
          <w:rFonts w:ascii="Times New Roman" w:hAnsi="Times New Roman"/>
          <w:sz w:val="24"/>
          <w:szCs w:val="24"/>
          <w:lang w:val="en-US"/>
        </w:rPr>
      </w:pPr>
      <w:r>
        <w:rPr>
          <w:rFonts w:ascii="Times New Roman" w:hAnsi="Times New Roman"/>
          <w:sz w:val="24"/>
          <w:szCs w:val="24"/>
          <w:lang w:val="en-US"/>
        </w:rPr>
        <w:t xml:space="preserve">Battelle i R&amp;D Magazine. (2013). 2014 Global R&amp;D Funding Forecast. </w:t>
      </w:r>
      <w:r w:rsidRPr="00572EDB">
        <w:rPr>
          <w:rFonts w:ascii="Times New Roman" w:hAnsi="Times New Roman"/>
          <w:i/>
          <w:sz w:val="24"/>
          <w:szCs w:val="24"/>
          <w:lang w:val="en-US"/>
        </w:rPr>
        <w:t>R&amp;D Magazine</w:t>
      </w:r>
      <w:r>
        <w:rPr>
          <w:rFonts w:ascii="Times New Roman" w:hAnsi="Times New Roman"/>
          <w:sz w:val="24"/>
          <w:szCs w:val="24"/>
          <w:lang w:val="en-US"/>
        </w:rPr>
        <w:t>, December, 1-35.</w:t>
      </w:r>
    </w:p>
    <w:p w:rsidR="004D19D2" w:rsidRDefault="004D19D2" w:rsidP="00CD67DC">
      <w:pPr>
        <w:spacing w:after="120" w:line="240" w:lineRule="auto"/>
        <w:ind w:left="539" w:hanging="539"/>
        <w:rPr>
          <w:rFonts w:ascii="Times New Roman" w:hAnsi="Times New Roman"/>
          <w:sz w:val="24"/>
          <w:szCs w:val="24"/>
          <w:lang w:val="en-US"/>
        </w:rPr>
      </w:pPr>
      <w:r w:rsidRPr="0042475B">
        <w:rPr>
          <w:rFonts w:ascii="Times New Roman" w:hAnsi="Times New Roman" w:cs="Times New Roman"/>
          <w:sz w:val="24"/>
          <w:szCs w:val="24"/>
        </w:rPr>
        <w:t>Borras</w:t>
      </w:r>
      <w:r>
        <w:rPr>
          <w:rFonts w:ascii="Times New Roman" w:hAnsi="Times New Roman" w:cs="Times New Roman"/>
          <w:sz w:val="24"/>
          <w:szCs w:val="24"/>
        </w:rPr>
        <w:t>, S.,</w:t>
      </w:r>
      <w:r w:rsidRPr="0042475B">
        <w:rPr>
          <w:rFonts w:ascii="Times New Roman" w:hAnsi="Times New Roman" w:cs="Times New Roman"/>
          <w:sz w:val="24"/>
          <w:szCs w:val="24"/>
        </w:rPr>
        <w:t xml:space="preserve"> Hakonsson</w:t>
      </w:r>
      <w:r>
        <w:rPr>
          <w:rFonts w:ascii="Times New Roman" w:hAnsi="Times New Roman" w:cs="Times New Roman"/>
          <w:sz w:val="24"/>
          <w:szCs w:val="24"/>
        </w:rPr>
        <w:t>, S.</w:t>
      </w:r>
      <w:r w:rsidRPr="0042475B">
        <w:rPr>
          <w:rFonts w:ascii="Times New Roman" w:hAnsi="Times New Roman" w:cs="Times New Roman"/>
          <w:sz w:val="24"/>
          <w:szCs w:val="24"/>
        </w:rPr>
        <w:t xml:space="preserve"> </w:t>
      </w:r>
      <w:r>
        <w:rPr>
          <w:rFonts w:ascii="Times New Roman" w:hAnsi="Times New Roman" w:cs="Times New Roman"/>
          <w:sz w:val="24"/>
          <w:szCs w:val="24"/>
        </w:rPr>
        <w:t>(</w:t>
      </w:r>
      <w:r w:rsidRPr="0042475B">
        <w:rPr>
          <w:rFonts w:ascii="Times New Roman" w:hAnsi="Times New Roman" w:cs="Times New Roman"/>
          <w:sz w:val="24"/>
          <w:szCs w:val="24"/>
        </w:rPr>
        <w:t>2012</w:t>
      </w:r>
      <w:r>
        <w:rPr>
          <w:rFonts w:ascii="Times New Roman" w:hAnsi="Times New Roman" w:cs="Times New Roman"/>
          <w:sz w:val="24"/>
          <w:szCs w:val="24"/>
        </w:rPr>
        <w:t>).</w:t>
      </w:r>
      <w:r w:rsidRPr="0042475B">
        <w:rPr>
          <w:rFonts w:ascii="Times New Roman" w:hAnsi="Times New Roman" w:cs="Times New Roman"/>
          <w:sz w:val="24"/>
          <w:szCs w:val="24"/>
        </w:rPr>
        <w:t xml:space="preserve"> </w:t>
      </w:r>
      <w:r w:rsidRPr="00FF4332">
        <w:rPr>
          <w:rFonts w:ascii="Times New Roman" w:hAnsi="Times New Roman" w:cs="Times New Roman"/>
          <w:i/>
          <w:sz w:val="24"/>
          <w:szCs w:val="24"/>
        </w:rPr>
        <w:t>Global Innovation Networks: Evidence and Policy Challenge.</w:t>
      </w:r>
      <w:r w:rsidRPr="0042475B">
        <w:rPr>
          <w:rFonts w:ascii="Times New Roman" w:hAnsi="Times New Roman" w:cs="Times New Roman"/>
          <w:sz w:val="24"/>
          <w:szCs w:val="24"/>
        </w:rPr>
        <w:t xml:space="preserve"> Brussels</w:t>
      </w:r>
      <w:r>
        <w:rPr>
          <w:rFonts w:ascii="Times New Roman" w:hAnsi="Times New Roman" w:cs="Times New Roman"/>
          <w:sz w:val="24"/>
          <w:szCs w:val="24"/>
        </w:rPr>
        <w:t>:</w:t>
      </w:r>
      <w:r w:rsidRPr="0042475B">
        <w:rPr>
          <w:rFonts w:ascii="Times New Roman" w:hAnsi="Times New Roman" w:cs="Times New Roman"/>
          <w:sz w:val="24"/>
          <w:szCs w:val="24"/>
        </w:rPr>
        <w:t xml:space="preserve"> </w:t>
      </w:r>
      <w:r>
        <w:rPr>
          <w:rFonts w:ascii="Times New Roman" w:hAnsi="Times New Roman" w:cs="Times New Roman"/>
          <w:sz w:val="24"/>
          <w:szCs w:val="24"/>
        </w:rPr>
        <w:t>European Commission.</w:t>
      </w:r>
    </w:p>
    <w:p w:rsidR="004D19D2" w:rsidRPr="000E7922" w:rsidRDefault="004D19D2" w:rsidP="000E7922">
      <w:pPr>
        <w:spacing w:after="120" w:line="240" w:lineRule="auto"/>
        <w:ind w:left="539" w:hanging="539"/>
        <w:rPr>
          <w:rFonts w:ascii="Times New Roman" w:hAnsi="Times New Roman" w:cs="Times New Roman"/>
          <w:sz w:val="24"/>
          <w:szCs w:val="24"/>
        </w:rPr>
      </w:pPr>
      <w:r w:rsidRPr="000E7922">
        <w:rPr>
          <w:rFonts w:ascii="Times New Roman" w:hAnsi="Times New Roman" w:cs="Times New Roman"/>
          <w:sz w:val="24"/>
          <w:szCs w:val="24"/>
        </w:rPr>
        <w:lastRenderedPageBreak/>
        <w:t>Di Minin, A., Zh</w:t>
      </w:r>
      <w:r>
        <w:rPr>
          <w:rFonts w:ascii="Times New Roman" w:hAnsi="Times New Roman" w:cs="Times New Roman"/>
          <w:sz w:val="24"/>
          <w:szCs w:val="24"/>
        </w:rPr>
        <w:t xml:space="preserve">ang, J., Gammeltoft P. (2012). </w:t>
      </w:r>
      <w:r w:rsidRPr="000E7922">
        <w:rPr>
          <w:rFonts w:ascii="Times New Roman" w:hAnsi="Times New Roman" w:cs="Times New Roman"/>
          <w:sz w:val="24"/>
          <w:szCs w:val="24"/>
        </w:rPr>
        <w:t xml:space="preserve">Chinese foreign direct investment in R&amp;D in Europe: A new model of R&amp;D internationalization? </w:t>
      </w:r>
      <w:r w:rsidRPr="000E7922">
        <w:rPr>
          <w:rFonts w:ascii="Times New Roman" w:hAnsi="Times New Roman" w:cs="Times New Roman"/>
          <w:i/>
          <w:sz w:val="24"/>
          <w:szCs w:val="24"/>
        </w:rPr>
        <w:t>Eu</w:t>
      </w:r>
      <w:bookmarkStart w:id="0" w:name="_GoBack"/>
      <w:bookmarkEnd w:id="0"/>
      <w:r w:rsidRPr="000E7922">
        <w:rPr>
          <w:rFonts w:ascii="Times New Roman" w:hAnsi="Times New Roman" w:cs="Times New Roman"/>
          <w:i/>
          <w:sz w:val="24"/>
          <w:szCs w:val="24"/>
        </w:rPr>
        <w:t>ropean Management Journal</w:t>
      </w:r>
      <w:r>
        <w:rPr>
          <w:rFonts w:ascii="Times New Roman" w:hAnsi="Times New Roman" w:cs="Times New Roman"/>
          <w:sz w:val="24"/>
          <w:szCs w:val="24"/>
        </w:rPr>
        <w:t>, 30, 189–</w:t>
      </w:r>
      <w:r w:rsidRPr="000E7922">
        <w:rPr>
          <w:rFonts w:ascii="Times New Roman" w:hAnsi="Times New Roman" w:cs="Times New Roman"/>
          <w:sz w:val="24"/>
          <w:szCs w:val="24"/>
        </w:rPr>
        <w:t>203.</w:t>
      </w:r>
    </w:p>
    <w:p w:rsidR="004D19D2" w:rsidRDefault="004D19D2" w:rsidP="00117D38">
      <w:pPr>
        <w:spacing w:after="120" w:line="240" w:lineRule="auto"/>
        <w:ind w:left="539" w:hanging="539"/>
        <w:rPr>
          <w:rFonts w:ascii="Times New Roman" w:hAnsi="Times New Roman" w:cs="Times New Roman"/>
          <w:sz w:val="24"/>
          <w:szCs w:val="24"/>
        </w:rPr>
      </w:pPr>
      <w:r w:rsidRPr="00117D38">
        <w:rPr>
          <w:rFonts w:ascii="Times New Roman" w:hAnsi="Times New Roman" w:cs="Times New Roman"/>
          <w:sz w:val="24"/>
          <w:szCs w:val="24"/>
        </w:rPr>
        <w:t xml:space="preserve">European Commission. (2011). </w:t>
      </w:r>
      <w:r w:rsidRPr="00117D38">
        <w:rPr>
          <w:rFonts w:ascii="Times New Roman" w:hAnsi="Times New Roman" w:cs="Times New Roman"/>
          <w:i/>
          <w:sz w:val="24"/>
          <w:szCs w:val="24"/>
        </w:rPr>
        <w:t>Science, Technology and Innovation in Europe</w:t>
      </w:r>
      <w:r w:rsidRPr="00117D38">
        <w:rPr>
          <w:rFonts w:ascii="Times New Roman" w:hAnsi="Times New Roman" w:cs="Times New Roman"/>
          <w:sz w:val="24"/>
          <w:szCs w:val="24"/>
        </w:rPr>
        <w:t>, Luxembourg: European Union.</w:t>
      </w:r>
    </w:p>
    <w:p w:rsidR="004D19D2" w:rsidRDefault="004D19D2" w:rsidP="00117D38">
      <w:pPr>
        <w:spacing w:after="120" w:line="240" w:lineRule="auto"/>
        <w:ind w:left="539" w:hanging="539"/>
        <w:rPr>
          <w:rFonts w:ascii="Times New Roman" w:hAnsi="Times New Roman" w:cs="Times New Roman"/>
          <w:sz w:val="24"/>
          <w:szCs w:val="24"/>
        </w:rPr>
      </w:pPr>
      <w:r w:rsidRPr="00117D38">
        <w:rPr>
          <w:rFonts w:ascii="Times New Roman" w:hAnsi="Times New Roman" w:cs="Times New Roman"/>
          <w:sz w:val="24"/>
          <w:szCs w:val="24"/>
        </w:rPr>
        <w:t xml:space="preserve">European Commission. (2012). </w:t>
      </w:r>
      <w:r w:rsidRPr="00117D38">
        <w:rPr>
          <w:rFonts w:ascii="Times New Roman" w:hAnsi="Times New Roman" w:cs="Times New Roman"/>
          <w:i/>
          <w:sz w:val="24"/>
          <w:szCs w:val="24"/>
        </w:rPr>
        <w:t>The 2012 EU Survey on R&amp;D Investment Business Trends</w:t>
      </w:r>
      <w:r w:rsidRPr="00117D38">
        <w:rPr>
          <w:rFonts w:ascii="Times New Roman" w:hAnsi="Times New Roman" w:cs="Times New Roman"/>
          <w:sz w:val="24"/>
          <w:szCs w:val="24"/>
        </w:rPr>
        <w:t>, Luxembourg: European Communities.</w:t>
      </w:r>
    </w:p>
    <w:p w:rsidR="004D19D2" w:rsidRDefault="004D19D2" w:rsidP="00817C32">
      <w:pPr>
        <w:autoSpaceDE w:val="0"/>
        <w:autoSpaceDN w:val="0"/>
        <w:adjustRightInd w:val="0"/>
        <w:spacing w:after="120" w:line="240" w:lineRule="auto"/>
        <w:ind w:left="539" w:hanging="539"/>
        <w:rPr>
          <w:rFonts w:ascii="Times New Roman" w:hAnsi="Times New Roman" w:cs="Times New Roman"/>
          <w:sz w:val="24"/>
          <w:szCs w:val="24"/>
        </w:rPr>
      </w:pPr>
      <w:r w:rsidRPr="00730CA8">
        <w:rPr>
          <w:rFonts w:ascii="Times New Roman" w:hAnsi="Times New Roman" w:cs="Times New Roman"/>
          <w:sz w:val="24"/>
          <w:szCs w:val="24"/>
        </w:rPr>
        <w:t>Fernald,</w:t>
      </w:r>
      <w:r w:rsidRPr="00730CA8">
        <w:rPr>
          <w:rFonts w:ascii="Times New Roman" w:hAnsi="Times New Roman" w:cs="Times New Roman"/>
          <w:bCs/>
          <w:sz w:val="24"/>
          <w:szCs w:val="24"/>
        </w:rPr>
        <w:t xml:space="preserve"> J.G., Jones, Ch.I. (2014).The Future of U.S. Economic Growth. </w:t>
      </w:r>
      <w:r w:rsidRPr="00730CA8">
        <w:rPr>
          <w:rFonts w:ascii="Times New Roman" w:hAnsi="Times New Roman" w:cs="Times New Roman"/>
          <w:i/>
          <w:sz w:val="24"/>
          <w:szCs w:val="24"/>
        </w:rPr>
        <w:t>Federal Reserve Bank Of San Francisco. Working Paper Series</w:t>
      </w:r>
      <w:r>
        <w:rPr>
          <w:rFonts w:ascii="Times New Roman" w:hAnsi="Times New Roman" w:cs="Times New Roman"/>
          <w:sz w:val="24"/>
          <w:szCs w:val="24"/>
        </w:rPr>
        <w:t xml:space="preserve">, </w:t>
      </w:r>
      <w:r w:rsidRPr="00730CA8">
        <w:rPr>
          <w:rFonts w:ascii="Times New Roman" w:hAnsi="Times New Roman" w:cs="Times New Roman"/>
          <w:sz w:val="24"/>
          <w:szCs w:val="24"/>
        </w:rPr>
        <w:t>02</w:t>
      </w:r>
      <w:r>
        <w:rPr>
          <w:rFonts w:ascii="Times New Roman" w:hAnsi="Times New Roman" w:cs="Times New Roman"/>
          <w:sz w:val="24"/>
          <w:szCs w:val="24"/>
        </w:rPr>
        <w:t>, 1-13</w:t>
      </w:r>
      <w:r w:rsidRPr="00730CA8">
        <w:rPr>
          <w:rFonts w:ascii="Times New Roman" w:hAnsi="Times New Roman" w:cs="Times New Roman"/>
          <w:sz w:val="24"/>
          <w:szCs w:val="24"/>
        </w:rPr>
        <w:t>.</w:t>
      </w:r>
    </w:p>
    <w:p w:rsidR="004D19D2" w:rsidRDefault="004D19D2" w:rsidP="00FF4332">
      <w:pPr>
        <w:spacing w:after="120" w:line="240" w:lineRule="auto"/>
        <w:ind w:left="539" w:hanging="539"/>
        <w:rPr>
          <w:rFonts w:ascii="Times New Roman" w:hAnsi="Times New Roman" w:cs="Times New Roman"/>
          <w:sz w:val="24"/>
          <w:szCs w:val="24"/>
          <w:lang w:val="en-US"/>
        </w:rPr>
      </w:pPr>
      <w:r w:rsidRPr="001D50E6">
        <w:rPr>
          <w:rFonts w:ascii="Times New Roman" w:hAnsi="Times New Roman" w:cs="Times New Roman"/>
          <w:sz w:val="24"/>
          <w:szCs w:val="24"/>
          <w:lang w:val="en-US"/>
        </w:rPr>
        <w:t>Hiratuka</w:t>
      </w:r>
      <w:r>
        <w:rPr>
          <w:rFonts w:ascii="Times New Roman" w:hAnsi="Times New Roman" w:cs="Times New Roman"/>
          <w:sz w:val="24"/>
          <w:szCs w:val="24"/>
          <w:lang w:val="en-US"/>
        </w:rPr>
        <w:t>, C.</w:t>
      </w:r>
      <w:r w:rsidRPr="001D50E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D50E6">
        <w:rPr>
          <w:rFonts w:ascii="Times New Roman" w:hAnsi="Times New Roman" w:cs="Times New Roman"/>
          <w:sz w:val="24"/>
          <w:szCs w:val="24"/>
          <w:lang w:val="en-US"/>
        </w:rPr>
        <w:t>2011</w:t>
      </w:r>
      <w:r>
        <w:rPr>
          <w:rFonts w:ascii="Times New Roman" w:hAnsi="Times New Roman" w:cs="Times New Roman"/>
          <w:sz w:val="24"/>
          <w:szCs w:val="24"/>
          <w:lang w:val="en-US"/>
        </w:rPr>
        <w:t>)</w:t>
      </w:r>
      <w:r w:rsidRPr="001D50E6">
        <w:rPr>
          <w:rFonts w:ascii="Times New Roman" w:hAnsi="Times New Roman" w:cs="Times New Roman"/>
          <w:sz w:val="24"/>
          <w:szCs w:val="24"/>
          <w:lang w:val="en-US"/>
        </w:rPr>
        <w:t xml:space="preserve">, </w:t>
      </w:r>
      <w:r w:rsidRPr="002C432F">
        <w:rPr>
          <w:rFonts w:ascii="Times New Roman" w:hAnsi="Times New Roman" w:cs="Times New Roman"/>
          <w:sz w:val="24"/>
          <w:szCs w:val="24"/>
          <w:lang w:val="en-US"/>
        </w:rPr>
        <w:t>Transnational Corporations and Internationalization of the Research and Development Activities in Developing Countries: The Relative Importance of Affiliates in Asia and Latin America</w:t>
      </w:r>
      <w:r w:rsidRPr="00CD67D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147-164).</w:t>
      </w:r>
      <w:r>
        <w:rPr>
          <w:rFonts w:ascii="Times New Roman" w:hAnsi="Times New Roman" w:cs="Times New Roman"/>
          <w:sz w:val="24"/>
          <w:szCs w:val="24"/>
          <w:lang w:val="en-US"/>
        </w:rPr>
        <w:t xml:space="preserve"> W: A. Deshpande (red</w:t>
      </w:r>
      <w:r w:rsidRPr="002C432F">
        <w:rPr>
          <w:rFonts w:ascii="Times New Roman" w:hAnsi="Times New Roman" w:cs="Times New Roman"/>
          <w:sz w:val="24"/>
          <w:szCs w:val="24"/>
          <w:lang w:val="en-US"/>
        </w:rPr>
        <w:t xml:space="preserve">.). </w:t>
      </w:r>
      <w:r w:rsidRPr="00CD67DC">
        <w:rPr>
          <w:rFonts w:ascii="Times New Roman" w:hAnsi="Times New Roman" w:cs="Times New Roman"/>
          <w:i/>
          <w:sz w:val="24"/>
          <w:szCs w:val="24"/>
          <w:lang w:val="en-US"/>
        </w:rPr>
        <w:t>Capital without Borders: Challenges to Development</w:t>
      </w:r>
      <w:r>
        <w:rPr>
          <w:rFonts w:ascii="Times New Roman" w:hAnsi="Times New Roman" w:cs="Times New Roman"/>
          <w:sz w:val="24"/>
          <w:szCs w:val="24"/>
          <w:lang w:val="en-US"/>
        </w:rPr>
        <w:t>. India: Anthem Press.</w:t>
      </w:r>
    </w:p>
    <w:p w:rsidR="004D19D2" w:rsidRPr="00DD7B39" w:rsidRDefault="004D19D2" w:rsidP="00817C32">
      <w:pPr>
        <w:autoSpaceDE w:val="0"/>
        <w:autoSpaceDN w:val="0"/>
        <w:adjustRightInd w:val="0"/>
        <w:spacing w:after="120" w:line="240" w:lineRule="auto"/>
        <w:ind w:left="539" w:hanging="539"/>
        <w:rPr>
          <w:rFonts w:ascii="Times New Roman" w:hAnsi="Times New Roman" w:cs="Times New Roman"/>
          <w:sz w:val="24"/>
          <w:szCs w:val="24"/>
        </w:rPr>
      </w:pPr>
      <w:r w:rsidRPr="00DD7B39">
        <w:rPr>
          <w:rFonts w:ascii="Times New Roman" w:hAnsi="Times New Roman" w:cs="Times New Roman"/>
          <w:sz w:val="24"/>
          <w:szCs w:val="24"/>
        </w:rPr>
        <w:t xml:space="preserve">Huang, C., Sharif, N. (2015). Global Technology Leadership: The Case of China. </w:t>
      </w:r>
      <w:r>
        <w:rPr>
          <w:rFonts w:ascii="Times New Roman" w:hAnsi="Times New Roman" w:cs="Times New Roman"/>
          <w:i/>
          <w:sz w:val="24"/>
          <w:szCs w:val="24"/>
        </w:rPr>
        <w:t xml:space="preserve">HKUST IEMS Working Paper, </w:t>
      </w:r>
      <w:r w:rsidRPr="00DD7B39">
        <w:rPr>
          <w:rFonts w:ascii="Times New Roman" w:hAnsi="Times New Roman" w:cs="Times New Roman"/>
          <w:sz w:val="24"/>
          <w:szCs w:val="24"/>
        </w:rPr>
        <w:t>11, February</w:t>
      </w:r>
      <w:r>
        <w:rPr>
          <w:rFonts w:ascii="Times New Roman" w:hAnsi="Times New Roman" w:cs="Times New Roman"/>
          <w:sz w:val="24"/>
          <w:szCs w:val="24"/>
        </w:rPr>
        <w:t>, 1-36</w:t>
      </w:r>
      <w:r w:rsidRPr="00DD7B39">
        <w:rPr>
          <w:rFonts w:ascii="Times New Roman" w:hAnsi="Times New Roman" w:cs="Times New Roman"/>
          <w:sz w:val="24"/>
          <w:szCs w:val="24"/>
        </w:rPr>
        <w:t>.</w:t>
      </w:r>
    </w:p>
    <w:p w:rsidR="004D19D2" w:rsidRDefault="004D19D2" w:rsidP="00CD5563">
      <w:pPr>
        <w:spacing w:after="120" w:line="240" w:lineRule="auto"/>
        <w:ind w:left="539" w:hanging="539"/>
        <w:rPr>
          <w:rFonts w:ascii="Times New Roman" w:eastAsia="Calibri" w:hAnsi="Times New Roman" w:cs="Times New Roman"/>
          <w:sz w:val="24"/>
          <w:szCs w:val="24"/>
          <w:lang w:val="en-US"/>
        </w:rPr>
      </w:pPr>
      <w:r w:rsidRPr="007B4580">
        <w:rPr>
          <w:rFonts w:ascii="Times New Roman" w:eastAsia="Calibri" w:hAnsi="Times New Roman" w:cs="Times New Roman"/>
          <w:sz w:val="24"/>
          <w:szCs w:val="24"/>
          <w:lang w:val="en-US"/>
        </w:rPr>
        <w:t>Kehal, H.S.</w:t>
      </w:r>
      <w:r>
        <w:rPr>
          <w:rFonts w:ascii="Times New Roman" w:eastAsia="Calibri" w:hAnsi="Times New Roman" w:cs="Times New Roman"/>
          <w:sz w:val="24"/>
          <w:szCs w:val="24"/>
          <w:lang w:val="en-US"/>
        </w:rPr>
        <w:t>,</w:t>
      </w:r>
      <w:r w:rsidRPr="007B4580">
        <w:rPr>
          <w:rFonts w:ascii="Times New Roman" w:eastAsia="Calibri" w:hAnsi="Times New Roman" w:cs="Times New Roman"/>
          <w:sz w:val="24"/>
          <w:szCs w:val="24"/>
          <w:lang w:val="en-US"/>
        </w:rPr>
        <w:t xml:space="preserve"> Singh, V.P. (2006). </w:t>
      </w:r>
      <w:r w:rsidRPr="00FF4332">
        <w:rPr>
          <w:rFonts w:ascii="Times New Roman" w:eastAsia="Calibri" w:hAnsi="Times New Roman" w:cs="Times New Roman"/>
          <w:i/>
          <w:sz w:val="24"/>
          <w:szCs w:val="24"/>
          <w:lang w:val="en-US"/>
        </w:rPr>
        <w:t>Outsourcing and Offshoring In the 21st Century: a socio-economic perspective.</w:t>
      </w:r>
      <w:r w:rsidRPr="007B4580">
        <w:rPr>
          <w:rFonts w:ascii="Times New Roman" w:eastAsia="Calibri" w:hAnsi="Times New Roman" w:cs="Times New Roman"/>
          <w:sz w:val="24"/>
          <w:szCs w:val="24"/>
          <w:lang w:val="en-US"/>
        </w:rPr>
        <w:t xml:space="preserve"> Hershey London Melbourne Singapore: Idea Group Publishing.</w:t>
      </w:r>
    </w:p>
    <w:p w:rsidR="004D19D2" w:rsidRPr="00CD5563" w:rsidRDefault="004D19D2" w:rsidP="00CD5563">
      <w:pPr>
        <w:spacing w:after="120" w:line="240" w:lineRule="auto"/>
        <w:ind w:left="539" w:hanging="539"/>
        <w:rPr>
          <w:rFonts w:ascii="Times New Roman" w:eastAsia="Calibri" w:hAnsi="Times New Roman" w:cs="Times New Roman"/>
          <w:sz w:val="24"/>
          <w:szCs w:val="24"/>
          <w:lang w:val="en-US"/>
        </w:rPr>
      </w:pPr>
      <w:r w:rsidRPr="00CD5563">
        <w:rPr>
          <w:rFonts w:ascii="Times New Roman" w:hAnsi="Times New Roman" w:cs="Times New Roman"/>
          <w:sz w:val="24"/>
          <w:szCs w:val="24"/>
        </w:rPr>
        <w:t xml:space="preserve">Li, J. (2010). Global R&amp;D Alliances in China: Collaborations With Universities and Research Institutes. </w:t>
      </w:r>
      <w:r w:rsidRPr="00CD5563">
        <w:rPr>
          <w:rFonts w:ascii="Times New Roman" w:hAnsi="Times New Roman" w:cs="Times New Roman"/>
          <w:i/>
          <w:sz w:val="24"/>
          <w:szCs w:val="24"/>
        </w:rPr>
        <w:t>IEEE Transactions On Engineering Management</w:t>
      </w:r>
      <w:r>
        <w:rPr>
          <w:rFonts w:ascii="Times New Roman" w:hAnsi="Times New Roman" w:cs="Times New Roman"/>
          <w:sz w:val="24"/>
          <w:szCs w:val="24"/>
        </w:rPr>
        <w:t xml:space="preserve">, 57, </w:t>
      </w:r>
      <w:r w:rsidRPr="00CD5563">
        <w:rPr>
          <w:rFonts w:ascii="Times New Roman" w:hAnsi="Times New Roman" w:cs="Times New Roman"/>
          <w:sz w:val="24"/>
          <w:szCs w:val="24"/>
        </w:rPr>
        <w:t>1, February, 78-87.</w:t>
      </w:r>
    </w:p>
    <w:p w:rsidR="004D19D2" w:rsidRDefault="004D19D2" w:rsidP="00CD67DC">
      <w:pPr>
        <w:spacing w:after="120" w:line="240" w:lineRule="auto"/>
        <w:ind w:left="539" w:hanging="539"/>
        <w:rPr>
          <w:rFonts w:ascii="Times New Roman" w:eastAsia="Times New Roman" w:hAnsi="Times New Roman"/>
          <w:bCs/>
          <w:color w:val="333333"/>
          <w:kern w:val="36"/>
          <w:sz w:val="24"/>
          <w:szCs w:val="24"/>
          <w:lang w:val="en-US" w:eastAsia="pl-PL"/>
        </w:rPr>
      </w:pPr>
      <w:r w:rsidRPr="008348F2">
        <w:rPr>
          <w:rFonts w:ascii="Times New Roman" w:eastAsia="Times New Roman" w:hAnsi="Times New Roman"/>
          <w:bCs/>
          <w:color w:val="333333"/>
          <w:kern w:val="36"/>
          <w:sz w:val="24"/>
          <w:szCs w:val="24"/>
          <w:lang w:val="en-US" w:eastAsia="pl-PL"/>
        </w:rPr>
        <w:t>Lu, L.Y.Y.</w:t>
      </w:r>
      <w:r>
        <w:rPr>
          <w:rFonts w:ascii="Times New Roman" w:eastAsia="Times New Roman" w:hAnsi="Times New Roman"/>
          <w:bCs/>
          <w:color w:val="333333"/>
          <w:kern w:val="36"/>
          <w:sz w:val="24"/>
          <w:szCs w:val="24"/>
          <w:lang w:val="en-US" w:eastAsia="pl-PL"/>
        </w:rPr>
        <w:t>,</w:t>
      </w:r>
      <w:r w:rsidRPr="008348F2">
        <w:rPr>
          <w:rFonts w:ascii="Times New Roman" w:eastAsia="Times New Roman" w:hAnsi="Times New Roman"/>
          <w:bCs/>
          <w:color w:val="333333"/>
          <w:kern w:val="36"/>
          <w:sz w:val="24"/>
          <w:szCs w:val="24"/>
          <w:lang w:val="en-US" w:eastAsia="pl-PL"/>
        </w:rPr>
        <w:t xml:space="preserve"> Chen, T.M.</w:t>
      </w:r>
      <w:r>
        <w:rPr>
          <w:rFonts w:ascii="Times New Roman" w:eastAsia="Times New Roman" w:hAnsi="Times New Roman"/>
          <w:bCs/>
          <w:color w:val="333333"/>
          <w:kern w:val="36"/>
          <w:sz w:val="24"/>
          <w:szCs w:val="24"/>
          <w:lang w:val="en-US" w:eastAsia="pl-PL"/>
        </w:rPr>
        <w:t xml:space="preserve"> (2012).</w:t>
      </w:r>
      <w:r w:rsidRPr="008348F2">
        <w:rPr>
          <w:rFonts w:ascii="Times New Roman" w:eastAsia="Times New Roman" w:hAnsi="Times New Roman"/>
          <w:bCs/>
          <w:color w:val="333333"/>
          <w:kern w:val="36"/>
          <w:sz w:val="24"/>
          <w:szCs w:val="24"/>
          <w:lang w:val="en-US" w:eastAsia="pl-PL"/>
        </w:rPr>
        <w:t xml:space="preserve"> Technology Strategy of R&amp;D Internationalization: An Empirical Study from a Developing Country</w:t>
      </w:r>
      <w:r>
        <w:rPr>
          <w:rFonts w:ascii="Times New Roman" w:eastAsia="Times New Roman" w:hAnsi="Times New Roman"/>
          <w:bCs/>
          <w:color w:val="333333"/>
          <w:kern w:val="36"/>
          <w:sz w:val="24"/>
          <w:szCs w:val="24"/>
          <w:lang w:val="en-US" w:eastAsia="pl-PL"/>
        </w:rPr>
        <w:t xml:space="preserve"> (81-108). W:</w:t>
      </w:r>
      <w:r w:rsidRPr="008348F2">
        <w:rPr>
          <w:rFonts w:ascii="Times New Roman" w:eastAsia="Times New Roman" w:hAnsi="Times New Roman"/>
          <w:bCs/>
          <w:color w:val="333333"/>
          <w:kern w:val="36"/>
          <w:sz w:val="24"/>
          <w:szCs w:val="24"/>
          <w:lang w:val="en-US" w:eastAsia="pl-PL"/>
        </w:rPr>
        <w:t xml:space="preserve"> F. Betz</w:t>
      </w:r>
      <w:r>
        <w:rPr>
          <w:rFonts w:ascii="Times New Roman" w:eastAsia="Times New Roman" w:hAnsi="Times New Roman"/>
          <w:bCs/>
          <w:color w:val="333333"/>
          <w:kern w:val="36"/>
          <w:sz w:val="24"/>
          <w:szCs w:val="24"/>
          <w:lang w:val="en-US" w:eastAsia="pl-PL"/>
        </w:rPr>
        <w:t xml:space="preserve"> (red.),</w:t>
      </w:r>
      <w:r w:rsidRPr="008348F2">
        <w:rPr>
          <w:rFonts w:ascii="Times New Roman" w:eastAsia="Times New Roman" w:hAnsi="Times New Roman"/>
          <w:bCs/>
          <w:color w:val="333333"/>
          <w:kern w:val="36"/>
          <w:sz w:val="24"/>
          <w:szCs w:val="24"/>
          <w:lang w:val="en-US" w:eastAsia="pl-PL"/>
        </w:rPr>
        <w:t xml:space="preserve"> </w:t>
      </w:r>
      <w:r w:rsidRPr="00CD67DC">
        <w:rPr>
          <w:rFonts w:ascii="Times New Roman" w:eastAsia="Times New Roman" w:hAnsi="Times New Roman"/>
          <w:bCs/>
          <w:i/>
          <w:color w:val="333333"/>
          <w:kern w:val="36"/>
          <w:sz w:val="24"/>
          <w:szCs w:val="24"/>
          <w:lang w:val="en-US" w:eastAsia="pl-PL"/>
        </w:rPr>
        <w:t>Creating and Managing a Technology Economy</w:t>
      </w:r>
      <w:r>
        <w:rPr>
          <w:rFonts w:ascii="Times New Roman" w:eastAsia="Times New Roman" w:hAnsi="Times New Roman"/>
          <w:bCs/>
          <w:color w:val="333333"/>
          <w:kern w:val="36"/>
          <w:sz w:val="24"/>
          <w:szCs w:val="24"/>
          <w:lang w:val="en-US" w:eastAsia="pl-PL"/>
        </w:rPr>
        <w:t xml:space="preserve">, Singapore: </w:t>
      </w:r>
      <w:r w:rsidRPr="008348F2">
        <w:rPr>
          <w:rFonts w:ascii="Times New Roman" w:eastAsia="Times New Roman" w:hAnsi="Times New Roman"/>
          <w:bCs/>
          <w:color w:val="333333"/>
          <w:kern w:val="36"/>
          <w:sz w:val="24"/>
          <w:szCs w:val="24"/>
          <w:lang w:val="en-US" w:eastAsia="pl-PL"/>
        </w:rPr>
        <w:t>World Scientific Publishing</w:t>
      </w:r>
      <w:r>
        <w:rPr>
          <w:rFonts w:ascii="Times New Roman" w:eastAsia="Times New Roman" w:hAnsi="Times New Roman"/>
          <w:bCs/>
          <w:color w:val="333333"/>
          <w:kern w:val="36"/>
          <w:sz w:val="24"/>
          <w:szCs w:val="24"/>
          <w:lang w:val="en-US" w:eastAsia="pl-PL"/>
        </w:rPr>
        <w:t>.</w:t>
      </w:r>
    </w:p>
    <w:p w:rsidR="004D19D2" w:rsidRPr="00173526" w:rsidRDefault="004D19D2" w:rsidP="00CD5563">
      <w:pPr>
        <w:autoSpaceDE w:val="0"/>
        <w:autoSpaceDN w:val="0"/>
        <w:adjustRightInd w:val="0"/>
        <w:spacing w:after="120" w:line="240" w:lineRule="auto"/>
        <w:ind w:left="539" w:hanging="539"/>
        <w:jc w:val="left"/>
        <w:rPr>
          <w:rFonts w:ascii="Times New Roman" w:hAnsi="Times New Roman" w:cs="Times New Roman"/>
          <w:sz w:val="24"/>
          <w:szCs w:val="24"/>
        </w:rPr>
      </w:pPr>
      <w:r w:rsidRPr="00173526">
        <w:rPr>
          <w:rFonts w:ascii="Times New Roman" w:hAnsi="Times New Roman" w:cs="Times New Roman"/>
          <w:sz w:val="24"/>
          <w:szCs w:val="24"/>
        </w:rPr>
        <w:t xml:space="preserve">Moncada-Paterno-Castello, P., Vivarelli, M., Voigt P. (2011). Drivers and impacts in the globalization of corporate R&amp;D: an introduction based on the European experience. </w:t>
      </w:r>
      <w:r w:rsidRPr="00173526">
        <w:rPr>
          <w:rFonts w:ascii="Times New Roman" w:hAnsi="Times New Roman" w:cs="Times New Roman"/>
          <w:i/>
          <w:sz w:val="24"/>
          <w:szCs w:val="24"/>
        </w:rPr>
        <w:t>Industrial and Corporate Change,</w:t>
      </w:r>
      <w:r>
        <w:rPr>
          <w:rFonts w:ascii="Times New Roman" w:hAnsi="Times New Roman" w:cs="Times New Roman"/>
          <w:sz w:val="24"/>
          <w:szCs w:val="24"/>
        </w:rPr>
        <w:t xml:space="preserve"> 20, 2,</w:t>
      </w:r>
      <w:r w:rsidRPr="00173526">
        <w:rPr>
          <w:rFonts w:ascii="Times New Roman" w:hAnsi="Times New Roman" w:cs="Times New Roman"/>
          <w:sz w:val="24"/>
          <w:szCs w:val="24"/>
        </w:rPr>
        <w:t xml:space="preserve"> 585–603</w:t>
      </w:r>
      <w:r>
        <w:rPr>
          <w:rFonts w:ascii="Times New Roman" w:hAnsi="Times New Roman" w:cs="Times New Roman"/>
          <w:sz w:val="24"/>
          <w:szCs w:val="24"/>
        </w:rPr>
        <w:t>.</w:t>
      </w:r>
    </w:p>
    <w:p w:rsidR="004D19D2" w:rsidRDefault="004D19D2" w:rsidP="00DF2740">
      <w:pPr>
        <w:autoSpaceDE w:val="0"/>
        <w:autoSpaceDN w:val="0"/>
        <w:adjustRightInd w:val="0"/>
        <w:spacing w:after="120" w:line="240" w:lineRule="auto"/>
        <w:ind w:left="539" w:hanging="539"/>
        <w:jc w:val="left"/>
        <w:rPr>
          <w:rFonts w:ascii="Times New Roman" w:hAnsi="Times New Roman" w:cs="Times New Roman"/>
          <w:sz w:val="24"/>
          <w:szCs w:val="24"/>
        </w:rPr>
      </w:pPr>
      <w:r w:rsidRPr="00DD7B39">
        <w:rPr>
          <w:rFonts w:ascii="Times New Roman" w:hAnsi="Times New Roman" w:cs="Times New Roman"/>
          <w:sz w:val="24"/>
          <w:szCs w:val="24"/>
        </w:rPr>
        <w:t>Morrison, W. M. (2014</w:t>
      </w:r>
      <w:r w:rsidRPr="00817C32">
        <w:rPr>
          <w:rFonts w:ascii="Times New Roman" w:hAnsi="Times New Roman" w:cs="Times New Roman"/>
          <w:i/>
          <w:sz w:val="24"/>
          <w:szCs w:val="24"/>
        </w:rPr>
        <w:t xml:space="preserve">). </w:t>
      </w:r>
      <w:r w:rsidRPr="00817C32">
        <w:rPr>
          <w:rFonts w:ascii="Times New Roman" w:hAnsi="Times New Roman" w:cs="Times New Roman"/>
          <w:i/>
          <w:iCs/>
          <w:sz w:val="24"/>
          <w:szCs w:val="24"/>
        </w:rPr>
        <w:t>China’s economic rise: History, trends, challenges, and implications for the United States</w:t>
      </w:r>
      <w:r w:rsidRPr="00817C32">
        <w:rPr>
          <w:rFonts w:ascii="Times New Roman" w:hAnsi="Times New Roman" w:cs="Times New Roman"/>
          <w:i/>
          <w:sz w:val="24"/>
          <w:szCs w:val="24"/>
        </w:rPr>
        <w:t>.</w:t>
      </w:r>
      <w:r w:rsidRPr="00DD7B39">
        <w:rPr>
          <w:rFonts w:ascii="Times New Roman" w:hAnsi="Times New Roman" w:cs="Times New Roman"/>
          <w:sz w:val="24"/>
          <w:szCs w:val="24"/>
        </w:rPr>
        <w:t xml:space="preserve"> Washington, DC: Congressional Research Service.</w:t>
      </w:r>
    </w:p>
    <w:p w:rsidR="004D19D2" w:rsidRPr="00730CA8" w:rsidRDefault="004D19D2" w:rsidP="00DF2740">
      <w:pPr>
        <w:autoSpaceDE w:val="0"/>
        <w:autoSpaceDN w:val="0"/>
        <w:adjustRightInd w:val="0"/>
        <w:spacing w:after="120" w:line="240" w:lineRule="auto"/>
        <w:ind w:left="539" w:hanging="539"/>
        <w:jc w:val="left"/>
        <w:rPr>
          <w:rFonts w:ascii="Times New Roman" w:hAnsi="Times New Roman" w:cs="Times New Roman"/>
          <w:sz w:val="24"/>
          <w:szCs w:val="24"/>
        </w:rPr>
      </w:pPr>
      <w:r w:rsidRPr="00730CA8">
        <w:rPr>
          <w:rFonts w:ascii="Times New Roman" w:hAnsi="Times New Roman" w:cs="Times New Roman"/>
          <w:sz w:val="24"/>
          <w:szCs w:val="24"/>
        </w:rPr>
        <w:t xml:space="preserve">Nolan, P. (2012). Is China Buying the World? </w:t>
      </w:r>
      <w:r w:rsidRPr="00730CA8">
        <w:rPr>
          <w:rFonts w:ascii="Times New Roman" w:hAnsi="Times New Roman" w:cs="Times New Roman"/>
          <w:i/>
          <w:sz w:val="24"/>
          <w:szCs w:val="24"/>
        </w:rPr>
        <w:t>Challenge</w:t>
      </w:r>
      <w:r w:rsidRPr="00730CA8">
        <w:rPr>
          <w:rFonts w:ascii="Times New Roman" w:hAnsi="Times New Roman" w:cs="Times New Roman"/>
          <w:sz w:val="24"/>
          <w:szCs w:val="24"/>
        </w:rPr>
        <w:t>, 55</w:t>
      </w:r>
      <w:r>
        <w:rPr>
          <w:rFonts w:ascii="Times New Roman" w:hAnsi="Times New Roman" w:cs="Times New Roman"/>
          <w:sz w:val="24"/>
          <w:szCs w:val="24"/>
        </w:rPr>
        <w:t xml:space="preserve">, </w:t>
      </w:r>
      <w:r w:rsidRPr="00730CA8">
        <w:rPr>
          <w:rFonts w:ascii="Times New Roman" w:hAnsi="Times New Roman" w:cs="Times New Roman"/>
          <w:sz w:val="24"/>
          <w:szCs w:val="24"/>
        </w:rPr>
        <w:t>2, 108-118.</w:t>
      </w:r>
    </w:p>
    <w:p w:rsidR="004D19D2" w:rsidRDefault="004D19D2" w:rsidP="00FF4332">
      <w:pPr>
        <w:spacing w:after="120" w:line="240" w:lineRule="auto"/>
        <w:ind w:left="539" w:hanging="539"/>
        <w:rPr>
          <w:rFonts w:ascii="Times New Roman" w:hAnsi="Times New Roman" w:cs="Times New Roman"/>
          <w:sz w:val="24"/>
          <w:szCs w:val="24"/>
          <w:lang w:val="en-US"/>
        </w:rPr>
      </w:pPr>
      <w:r w:rsidRPr="007B4580">
        <w:rPr>
          <w:rFonts w:ascii="Times New Roman" w:hAnsi="Times New Roman" w:cs="Times New Roman"/>
          <w:sz w:val="24"/>
          <w:szCs w:val="24"/>
          <w:lang w:val="en-US"/>
        </w:rPr>
        <w:t>O</w:t>
      </w:r>
      <w:r>
        <w:rPr>
          <w:rFonts w:ascii="Times New Roman" w:hAnsi="Times New Roman" w:cs="Times New Roman"/>
          <w:sz w:val="24"/>
          <w:szCs w:val="24"/>
          <w:lang w:val="en-US"/>
        </w:rPr>
        <w:t>CDE.</w:t>
      </w:r>
      <w:r w:rsidRPr="007B4580">
        <w:rPr>
          <w:rFonts w:ascii="Times New Roman" w:hAnsi="Times New Roman" w:cs="Times New Roman"/>
          <w:sz w:val="24"/>
          <w:szCs w:val="24"/>
          <w:lang w:val="en-US"/>
        </w:rPr>
        <w:t xml:space="preserve"> (2007</w:t>
      </w:r>
      <w:r w:rsidRPr="00FF4332">
        <w:rPr>
          <w:rFonts w:ascii="Times New Roman" w:hAnsi="Times New Roman" w:cs="Times New Roman"/>
          <w:i/>
          <w:sz w:val="24"/>
          <w:szCs w:val="24"/>
          <w:lang w:val="en-US"/>
        </w:rPr>
        <w:t>). Les délocalisations et l’emploi. Tendances et impacts</w:t>
      </w:r>
      <w:r w:rsidRPr="007B4580">
        <w:rPr>
          <w:rFonts w:ascii="Times New Roman" w:hAnsi="Times New Roman" w:cs="Times New Roman"/>
          <w:sz w:val="24"/>
          <w:szCs w:val="24"/>
          <w:lang w:val="en-US"/>
        </w:rPr>
        <w:t>. Paris: OCDE.</w:t>
      </w:r>
    </w:p>
    <w:p w:rsidR="004D19D2" w:rsidRPr="00FF4332" w:rsidRDefault="004D19D2" w:rsidP="00FF4332">
      <w:pPr>
        <w:pStyle w:val="Tekstprzypisudolnego"/>
        <w:spacing w:after="120"/>
        <w:ind w:left="539" w:hanging="539"/>
        <w:rPr>
          <w:sz w:val="24"/>
          <w:szCs w:val="24"/>
          <w:lang w:val="en-US"/>
        </w:rPr>
      </w:pPr>
      <w:r w:rsidRPr="007B4580">
        <w:rPr>
          <w:rFonts w:ascii="Times New Roman" w:hAnsi="Times New Roman" w:cs="Times New Roman"/>
          <w:sz w:val="24"/>
          <w:szCs w:val="24"/>
          <w:lang w:val="en-US"/>
        </w:rPr>
        <w:t>O</w:t>
      </w:r>
      <w:r>
        <w:rPr>
          <w:rFonts w:ascii="Times New Roman" w:hAnsi="Times New Roman" w:cs="Times New Roman"/>
          <w:sz w:val="24"/>
          <w:szCs w:val="24"/>
          <w:lang w:val="en-US"/>
        </w:rPr>
        <w:t>ECD.</w:t>
      </w:r>
      <w:r w:rsidRPr="007B4580">
        <w:rPr>
          <w:rFonts w:ascii="Times New Roman" w:hAnsi="Times New Roman" w:cs="Times New Roman"/>
          <w:sz w:val="24"/>
          <w:szCs w:val="24"/>
          <w:lang w:val="en-US"/>
        </w:rPr>
        <w:t xml:space="preserve"> (2010). </w:t>
      </w:r>
      <w:r w:rsidRPr="00FF4332">
        <w:rPr>
          <w:rFonts w:ascii="Times New Roman" w:hAnsi="Times New Roman" w:cs="Times New Roman"/>
          <w:i/>
          <w:color w:val="000000"/>
          <w:sz w:val="24"/>
          <w:szCs w:val="24"/>
          <w:lang w:val="en-US"/>
        </w:rPr>
        <w:t>Perspectives on global development 2010: shifting wealth.</w:t>
      </w:r>
      <w:r w:rsidRPr="007B4580">
        <w:rPr>
          <w:rFonts w:ascii="Times New Roman" w:hAnsi="Times New Roman" w:cs="Times New Roman"/>
          <w:color w:val="000000"/>
          <w:sz w:val="24"/>
          <w:szCs w:val="24"/>
          <w:lang w:val="en-US"/>
        </w:rPr>
        <w:t xml:space="preserve"> Paris: OECD.</w:t>
      </w:r>
    </w:p>
    <w:p w:rsidR="004D19D2" w:rsidRPr="00695B0C" w:rsidRDefault="004D19D2" w:rsidP="00FF4332">
      <w:pPr>
        <w:spacing w:after="120" w:line="240" w:lineRule="auto"/>
        <w:ind w:left="539" w:hanging="539"/>
        <w:rPr>
          <w:rFonts w:ascii="Times New Roman" w:hAnsi="Times New Roman" w:cs="Times New Roman"/>
          <w:color w:val="000000"/>
          <w:sz w:val="24"/>
          <w:szCs w:val="24"/>
          <w:lang w:val="en-US"/>
        </w:rPr>
      </w:pPr>
      <w:r w:rsidRPr="00695B0C">
        <w:rPr>
          <w:rFonts w:ascii="Times New Roman" w:hAnsi="Times New Roman"/>
          <w:sz w:val="24"/>
          <w:szCs w:val="24"/>
          <w:lang w:val="en-US"/>
        </w:rPr>
        <w:t>O</w:t>
      </w:r>
      <w:r>
        <w:rPr>
          <w:rFonts w:ascii="Times New Roman" w:hAnsi="Times New Roman"/>
          <w:sz w:val="24"/>
          <w:szCs w:val="24"/>
          <w:lang w:val="en-US"/>
        </w:rPr>
        <w:t>ECD.</w:t>
      </w:r>
      <w:r w:rsidRPr="00695B0C">
        <w:rPr>
          <w:rFonts w:ascii="Times New Roman" w:hAnsi="Times New Roman"/>
          <w:sz w:val="24"/>
          <w:szCs w:val="24"/>
          <w:lang w:val="en-US"/>
        </w:rPr>
        <w:t xml:space="preserve"> (2011). </w:t>
      </w:r>
      <w:r w:rsidRPr="00FF4332">
        <w:rPr>
          <w:rFonts w:ascii="Times New Roman" w:hAnsi="Times New Roman"/>
          <w:i/>
          <w:sz w:val="24"/>
          <w:szCs w:val="24"/>
          <w:lang w:val="en-US"/>
        </w:rPr>
        <w:t>OECD Science, Technology and Industry Scoreboard 2011: Innovation and Growth in Knowledge Economies</w:t>
      </w:r>
      <w:r w:rsidRPr="00695B0C">
        <w:rPr>
          <w:rFonts w:ascii="Times New Roman" w:hAnsi="Times New Roman"/>
          <w:sz w:val="24"/>
          <w:szCs w:val="24"/>
          <w:lang w:val="en-US"/>
        </w:rPr>
        <w:t>, Paris: OECD.</w:t>
      </w:r>
    </w:p>
    <w:p w:rsidR="004D19D2" w:rsidRDefault="004D19D2" w:rsidP="00FF4332">
      <w:pPr>
        <w:spacing w:after="120" w:line="240" w:lineRule="auto"/>
        <w:ind w:left="539" w:hanging="539"/>
        <w:rPr>
          <w:rFonts w:ascii="Times New Roman" w:hAnsi="Times New Roman" w:cs="Times New Roman"/>
          <w:sz w:val="24"/>
          <w:szCs w:val="24"/>
          <w:lang w:val="en-US"/>
        </w:rPr>
      </w:pPr>
      <w:r w:rsidRPr="00695B0C">
        <w:rPr>
          <w:rFonts w:ascii="Times New Roman" w:hAnsi="Times New Roman" w:cs="Times New Roman"/>
          <w:sz w:val="24"/>
          <w:szCs w:val="24"/>
        </w:rPr>
        <w:t>OECD</w:t>
      </w:r>
      <w:r>
        <w:rPr>
          <w:rFonts w:ascii="Times New Roman" w:hAnsi="Times New Roman" w:cs="Times New Roman"/>
          <w:sz w:val="24"/>
          <w:szCs w:val="24"/>
        </w:rPr>
        <w:t>.</w:t>
      </w:r>
      <w:r w:rsidRPr="00695B0C">
        <w:rPr>
          <w:rFonts w:ascii="Times New Roman" w:hAnsi="Times New Roman" w:cs="Times New Roman"/>
          <w:sz w:val="24"/>
          <w:szCs w:val="24"/>
        </w:rPr>
        <w:t xml:space="preserve"> (201</w:t>
      </w:r>
      <w:r>
        <w:rPr>
          <w:rFonts w:ascii="Times New Roman" w:hAnsi="Times New Roman" w:cs="Times New Roman"/>
          <w:sz w:val="24"/>
          <w:szCs w:val="24"/>
        </w:rPr>
        <w:t>6a</w:t>
      </w:r>
      <w:r w:rsidRPr="00695B0C">
        <w:rPr>
          <w:rFonts w:ascii="Times New Roman" w:hAnsi="Times New Roman" w:cs="Times New Roman"/>
          <w:sz w:val="24"/>
          <w:szCs w:val="24"/>
        </w:rPr>
        <w:t>).</w:t>
      </w:r>
      <w:r w:rsidRPr="007B4580">
        <w:rPr>
          <w:rFonts w:ascii="Times New Roman" w:hAnsi="Times New Roman" w:cs="Times New Roman"/>
          <w:sz w:val="24"/>
          <w:szCs w:val="24"/>
        </w:rPr>
        <w:t xml:space="preserve"> </w:t>
      </w:r>
      <w:r w:rsidRPr="002C432F">
        <w:rPr>
          <w:rFonts w:ascii="Times New Roman" w:hAnsi="Times New Roman" w:cs="Times New Roman"/>
          <w:sz w:val="24"/>
          <w:szCs w:val="24"/>
          <w:lang w:val="en-US"/>
        </w:rPr>
        <w:t>Science, Technology and R&amp;D Statistics</w:t>
      </w:r>
      <w:r>
        <w:rPr>
          <w:rFonts w:ascii="Times New Roman" w:hAnsi="Times New Roman" w:cs="Times New Roman"/>
          <w:sz w:val="24"/>
          <w:szCs w:val="24"/>
          <w:lang w:val="en-US"/>
        </w:rPr>
        <w:t>. Data base. [ONLINE] &lt;</w:t>
      </w:r>
      <w:r w:rsidRPr="00FF4332">
        <w:rPr>
          <w:rFonts w:ascii="Times New Roman" w:hAnsi="Times New Roman" w:cs="Times New Roman"/>
          <w:sz w:val="24"/>
          <w:szCs w:val="24"/>
          <w:lang w:val="en-US"/>
        </w:rPr>
        <w:t xml:space="preserve">http://www.oecd-ilibrary.org/science-and-technology/data/oecd-science-technology-and-r-d-statistics_strd-data-en </w:t>
      </w:r>
      <w:r>
        <w:rPr>
          <w:rFonts w:ascii="Times New Roman" w:hAnsi="Times New Roman" w:cs="Times New Roman"/>
          <w:sz w:val="24"/>
          <w:szCs w:val="24"/>
          <w:lang w:val="en-US"/>
        </w:rPr>
        <w:t>&gt; (dostęp: 20.10.2016).</w:t>
      </w:r>
    </w:p>
    <w:p w:rsidR="004D19D2" w:rsidRDefault="004D19D2" w:rsidP="00117D38">
      <w:pPr>
        <w:spacing w:after="120" w:line="240" w:lineRule="auto"/>
        <w:ind w:left="539" w:hanging="539"/>
        <w:rPr>
          <w:rFonts w:ascii="Times New Roman" w:hAnsi="Times New Roman" w:cs="Times New Roman"/>
          <w:sz w:val="24"/>
          <w:szCs w:val="24"/>
          <w:lang w:val="en-US"/>
        </w:rPr>
      </w:pPr>
      <w:r>
        <w:rPr>
          <w:rFonts w:ascii="Times New Roman" w:hAnsi="Times New Roman" w:cs="Times New Roman"/>
          <w:sz w:val="24"/>
          <w:szCs w:val="24"/>
          <w:lang w:val="en-US"/>
        </w:rPr>
        <w:t>OECD. (2016b). Patent statistics. Data base. [ONLINE] &lt;</w:t>
      </w:r>
      <w:r w:rsidRPr="00422703">
        <w:rPr>
          <w:rFonts w:ascii="Times New Roman" w:hAnsi="Times New Roman" w:cs="Times New Roman"/>
          <w:sz w:val="24"/>
          <w:szCs w:val="24"/>
          <w:lang w:val="en-US"/>
        </w:rPr>
        <w:t xml:space="preserve">http://han.uek.krakow.pl/han/oecd/www.oecd-ilibrary.org/science-and-technology/data/oecd-patent-statistics/patents-by-main-technology-and-by-international-patent-classification-ipc_data-00508-en?isPartOf=/content/datacollection/patent-data-en&gt; </w:t>
      </w:r>
      <w:r>
        <w:rPr>
          <w:rFonts w:ascii="Times New Roman" w:hAnsi="Times New Roman" w:cs="Times New Roman"/>
          <w:sz w:val="24"/>
          <w:szCs w:val="24"/>
          <w:lang w:val="en-US"/>
        </w:rPr>
        <w:t>(dostęp: 20.10.2016).</w:t>
      </w:r>
    </w:p>
    <w:p w:rsidR="004D19D2" w:rsidRPr="007B4580" w:rsidRDefault="004D19D2" w:rsidP="00FF4332">
      <w:pPr>
        <w:spacing w:after="120" w:line="240" w:lineRule="auto"/>
        <w:ind w:left="539" w:hanging="539"/>
        <w:rPr>
          <w:rFonts w:ascii="Times New Roman" w:hAnsi="Times New Roman" w:cs="Times New Roman"/>
          <w:sz w:val="24"/>
          <w:szCs w:val="24"/>
        </w:rPr>
      </w:pPr>
      <w:r w:rsidRPr="007B4580">
        <w:rPr>
          <w:rFonts w:ascii="Times New Roman" w:hAnsi="Times New Roman" w:cs="Times New Roman"/>
          <w:sz w:val="24"/>
          <w:szCs w:val="24"/>
          <w:lang w:val="en-US"/>
        </w:rPr>
        <w:t>U</w:t>
      </w:r>
      <w:r>
        <w:rPr>
          <w:rFonts w:ascii="Times New Roman" w:hAnsi="Times New Roman" w:cs="Times New Roman"/>
          <w:sz w:val="24"/>
          <w:szCs w:val="24"/>
          <w:lang w:val="en-US"/>
        </w:rPr>
        <w:t>NCTAD.</w:t>
      </w:r>
      <w:r w:rsidRPr="007B4580">
        <w:rPr>
          <w:rFonts w:ascii="Times New Roman" w:hAnsi="Times New Roman" w:cs="Times New Roman"/>
          <w:sz w:val="24"/>
          <w:szCs w:val="24"/>
          <w:lang w:val="en-US"/>
        </w:rPr>
        <w:t xml:space="preserve"> (2005a). </w:t>
      </w:r>
      <w:r w:rsidRPr="00FF4332">
        <w:rPr>
          <w:rFonts w:ascii="Times New Roman" w:hAnsi="Times New Roman" w:cs="Times New Roman"/>
          <w:bCs/>
          <w:i/>
          <w:sz w:val="24"/>
          <w:szCs w:val="24"/>
          <w:lang w:val="en-US"/>
        </w:rPr>
        <w:t>The impact of FDI on development: globalization of R&amp;D by transnational corporations and implications for developing countries</w:t>
      </w:r>
      <w:r w:rsidRPr="007B4580">
        <w:rPr>
          <w:rFonts w:ascii="Times New Roman" w:hAnsi="Times New Roman" w:cs="Times New Roman"/>
          <w:bCs/>
          <w:sz w:val="24"/>
          <w:szCs w:val="24"/>
          <w:lang w:val="en-US"/>
        </w:rPr>
        <w:t>. Geneva: UNCTAD.</w:t>
      </w:r>
    </w:p>
    <w:p w:rsidR="004D19D2" w:rsidRDefault="004D19D2" w:rsidP="0035020D">
      <w:pPr>
        <w:autoSpaceDE w:val="0"/>
        <w:autoSpaceDN w:val="0"/>
        <w:adjustRightInd w:val="0"/>
        <w:spacing w:after="120" w:line="240" w:lineRule="auto"/>
        <w:ind w:left="539" w:hanging="539"/>
        <w:rPr>
          <w:rFonts w:ascii="Times New Roman" w:hAnsi="Times New Roman" w:cs="Times New Roman"/>
          <w:sz w:val="24"/>
          <w:szCs w:val="24"/>
        </w:rPr>
      </w:pPr>
      <w:r w:rsidRPr="007B4580">
        <w:rPr>
          <w:rFonts w:ascii="Times New Roman" w:hAnsi="Times New Roman" w:cs="Times New Roman"/>
          <w:sz w:val="24"/>
          <w:szCs w:val="24"/>
          <w:lang w:val="en-US"/>
        </w:rPr>
        <w:lastRenderedPageBreak/>
        <w:t>U</w:t>
      </w:r>
      <w:r>
        <w:rPr>
          <w:rFonts w:ascii="Times New Roman" w:hAnsi="Times New Roman" w:cs="Times New Roman"/>
          <w:sz w:val="24"/>
          <w:szCs w:val="24"/>
          <w:lang w:val="en-US"/>
        </w:rPr>
        <w:t>NCTAD.</w:t>
      </w:r>
      <w:r w:rsidRPr="007B4580">
        <w:rPr>
          <w:rFonts w:ascii="Times New Roman" w:hAnsi="Times New Roman" w:cs="Times New Roman"/>
          <w:sz w:val="24"/>
          <w:szCs w:val="24"/>
          <w:lang w:val="en-US"/>
        </w:rPr>
        <w:t xml:space="preserve"> (2005b). </w:t>
      </w:r>
      <w:r w:rsidRPr="00FF4332">
        <w:rPr>
          <w:rFonts w:ascii="Times New Roman" w:hAnsi="Times New Roman" w:cs="Times New Roman"/>
          <w:i/>
          <w:sz w:val="24"/>
          <w:szCs w:val="24"/>
          <w:lang w:val="en-US"/>
        </w:rPr>
        <w:t>Globalization of R&amp;D and developing countries</w:t>
      </w:r>
      <w:r w:rsidRPr="007B4580">
        <w:rPr>
          <w:rFonts w:ascii="Times New Roman" w:hAnsi="Times New Roman" w:cs="Times New Roman"/>
          <w:sz w:val="24"/>
          <w:szCs w:val="24"/>
          <w:lang w:val="en-US"/>
        </w:rPr>
        <w:t xml:space="preserve">. New York and Geneva: </w:t>
      </w:r>
      <w:r w:rsidRPr="00F7125F">
        <w:rPr>
          <w:rFonts w:ascii="Times New Roman" w:hAnsi="Times New Roman" w:cs="Times New Roman"/>
          <w:sz w:val="24"/>
          <w:szCs w:val="24"/>
          <w:lang w:val="en-US"/>
        </w:rPr>
        <w:t>United Nations.</w:t>
      </w:r>
    </w:p>
    <w:p w:rsidR="004D19D2" w:rsidRDefault="004D19D2" w:rsidP="0035020D">
      <w:pPr>
        <w:autoSpaceDE w:val="0"/>
        <w:autoSpaceDN w:val="0"/>
        <w:adjustRightInd w:val="0"/>
        <w:spacing w:after="120" w:line="240" w:lineRule="auto"/>
        <w:ind w:left="539" w:hanging="539"/>
        <w:rPr>
          <w:rFonts w:ascii="Times New Roman" w:eastAsia="Calibri" w:hAnsi="Times New Roman" w:cs="Times New Roman"/>
          <w:sz w:val="24"/>
          <w:szCs w:val="24"/>
          <w:lang w:val="en-US"/>
        </w:rPr>
      </w:pPr>
      <w:r w:rsidRPr="00F7125F">
        <w:rPr>
          <w:rFonts w:ascii="Times New Roman" w:hAnsi="Times New Roman" w:cs="Times New Roman"/>
          <w:bCs/>
          <w:sz w:val="24"/>
          <w:szCs w:val="24"/>
          <w:lang w:val="en-US"/>
        </w:rPr>
        <w:t>U</w:t>
      </w:r>
      <w:r>
        <w:rPr>
          <w:rFonts w:ascii="Times New Roman" w:hAnsi="Times New Roman" w:cs="Times New Roman"/>
          <w:bCs/>
          <w:sz w:val="24"/>
          <w:szCs w:val="24"/>
          <w:lang w:val="en-US"/>
        </w:rPr>
        <w:t>NCTAD.</w:t>
      </w:r>
      <w:r w:rsidRPr="00F7125F">
        <w:rPr>
          <w:rFonts w:ascii="Times New Roman" w:hAnsi="Times New Roman" w:cs="Times New Roman"/>
          <w:bCs/>
          <w:sz w:val="24"/>
          <w:szCs w:val="24"/>
          <w:lang w:val="en-US"/>
        </w:rPr>
        <w:t xml:space="preserve"> (2005c). </w:t>
      </w:r>
      <w:r w:rsidRPr="00FF4332">
        <w:rPr>
          <w:rFonts w:ascii="Times New Roman" w:hAnsi="Times New Roman" w:cs="Times New Roman"/>
          <w:bCs/>
          <w:i/>
          <w:sz w:val="24"/>
          <w:szCs w:val="24"/>
          <w:lang w:val="en-US"/>
        </w:rPr>
        <w:t>Survey on the internationalization of R&amp;D</w:t>
      </w:r>
      <w:r w:rsidRPr="00F7125F">
        <w:rPr>
          <w:rFonts w:ascii="Times New Roman" w:hAnsi="Times New Roman" w:cs="Times New Roman"/>
          <w:bCs/>
          <w:sz w:val="24"/>
          <w:szCs w:val="24"/>
          <w:lang w:val="en-US"/>
        </w:rPr>
        <w:t>. New York and Geneva: United Nations.</w:t>
      </w:r>
    </w:p>
    <w:p w:rsidR="004D19D2" w:rsidRDefault="004D19D2" w:rsidP="0035020D">
      <w:pPr>
        <w:autoSpaceDE w:val="0"/>
        <w:autoSpaceDN w:val="0"/>
        <w:adjustRightInd w:val="0"/>
        <w:spacing w:after="120" w:line="240" w:lineRule="auto"/>
        <w:ind w:left="539" w:hanging="53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UNCTAD. (2009).</w:t>
      </w:r>
      <w:r w:rsidRPr="00F7125F">
        <w:rPr>
          <w:rFonts w:ascii="Times New Roman" w:eastAsia="Calibri" w:hAnsi="Times New Roman" w:cs="Times New Roman"/>
          <w:sz w:val="24"/>
          <w:szCs w:val="24"/>
          <w:lang w:val="en-US"/>
        </w:rPr>
        <w:t xml:space="preserve"> </w:t>
      </w:r>
      <w:r w:rsidRPr="00FF4332">
        <w:rPr>
          <w:rFonts w:ascii="Times New Roman" w:eastAsia="Calibri" w:hAnsi="Times New Roman" w:cs="Times New Roman"/>
          <w:i/>
          <w:sz w:val="24"/>
          <w:szCs w:val="24"/>
          <w:lang w:val="en-US"/>
        </w:rPr>
        <w:t>World investment prospects survey 2009-2011</w:t>
      </w:r>
      <w:r w:rsidRPr="00F7125F">
        <w:rPr>
          <w:rFonts w:ascii="Times New Roman" w:eastAsia="Calibri" w:hAnsi="Times New Roman" w:cs="Times New Roman"/>
          <w:sz w:val="24"/>
          <w:szCs w:val="24"/>
          <w:lang w:val="en-US"/>
        </w:rPr>
        <w:t>, New York and Geneva: United</w:t>
      </w:r>
      <w:r w:rsidRPr="007B4580">
        <w:rPr>
          <w:rFonts w:ascii="Times New Roman" w:eastAsia="Calibri" w:hAnsi="Times New Roman" w:cs="Times New Roman"/>
          <w:sz w:val="24"/>
          <w:szCs w:val="24"/>
          <w:lang w:val="en-US"/>
        </w:rPr>
        <w:t xml:space="preserve"> Nations.</w:t>
      </w:r>
    </w:p>
    <w:p w:rsidR="004D19D2" w:rsidRDefault="004D19D2" w:rsidP="00CD5563">
      <w:pPr>
        <w:autoSpaceDE w:val="0"/>
        <w:autoSpaceDN w:val="0"/>
        <w:adjustRightInd w:val="0"/>
        <w:spacing w:after="120" w:line="240" w:lineRule="auto"/>
        <w:ind w:left="539" w:hanging="539"/>
        <w:jc w:val="left"/>
        <w:rPr>
          <w:rFonts w:ascii="Times New Roman" w:hAnsi="Times New Roman" w:cs="Times New Roman"/>
          <w:sz w:val="24"/>
          <w:szCs w:val="24"/>
        </w:rPr>
      </w:pPr>
      <w:r w:rsidRPr="00117D38">
        <w:rPr>
          <w:rFonts w:ascii="Times New Roman" w:hAnsi="Times New Roman" w:cs="Times New Roman"/>
          <w:sz w:val="24"/>
          <w:szCs w:val="24"/>
        </w:rPr>
        <w:t xml:space="preserve">UNCTAD. (2011). </w:t>
      </w:r>
      <w:r w:rsidRPr="00117D38">
        <w:rPr>
          <w:rFonts w:ascii="Times New Roman" w:hAnsi="Times New Roman" w:cs="Times New Roman"/>
          <w:i/>
          <w:sz w:val="24"/>
          <w:szCs w:val="24"/>
        </w:rPr>
        <w:t>Foreign direct investment, the transfer and diffusion of technology, and sustainable development</w:t>
      </w:r>
      <w:r w:rsidRPr="00117D38">
        <w:rPr>
          <w:rFonts w:ascii="Times New Roman" w:hAnsi="Times New Roman" w:cs="Times New Roman"/>
          <w:sz w:val="24"/>
          <w:szCs w:val="24"/>
        </w:rPr>
        <w:t>, Geneva: UNCTAD.</w:t>
      </w:r>
    </w:p>
    <w:p w:rsidR="004D19D2" w:rsidRPr="00680282" w:rsidRDefault="004D19D2" w:rsidP="00680282">
      <w:pPr>
        <w:spacing w:after="120" w:line="240" w:lineRule="auto"/>
        <w:ind w:left="539" w:hanging="539"/>
        <w:rPr>
          <w:rFonts w:ascii="Times New Roman" w:hAnsi="Times New Roman" w:cs="Times New Roman"/>
          <w:sz w:val="24"/>
          <w:szCs w:val="24"/>
          <w:lang w:val="en-US"/>
        </w:rPr>
      </w:pPr>
      <w:r w:rsidRPr="00DD7B39">
        <w:rPr>
          <w:rFonts w:ascii="Times New Roman" w:hAnsi="Times New Roman" w:cs="Times New Roman"/>
          <w:sz w:val="24"/>
          <w:szCs w:val="24"/>
        </w:rPr>
        <w:t>Wang, X., Xu, S., Wang Z., Peng , L., Wang</w:t>
      </w:r>
      <w:r>
        <w:rPr>
          <w:rFonts w:ascii="Times New Roman" w:hAnsi="Times New Roman" w:cs="Times New Roman"/>
          <w:sz w:val="24"/>
          <w:szCs w:val="24"/>
        </w:rPr>
        <w:t>,</w:t>
      </w:r>
      <w:r w:rsidRPr="00DD7B39">
        <w:rPr>
          <w:rFonts w:ascii="Times New Roman" w:hAnsi="Times New Roman" w:cs="Times New Roman"/>
          <w:sz w:val="24"/>
          <w:szCs w:val="24"/>
        </w:rPr>
        <w:t xml:space="preserve"> C. (2013). International scientific collaboration of China: collaborating countries, institutions and individuals. </w:t>
      </w:r>
      <w:r w:rsidRPr="00DD7B39">
        <w:rPr>
          <w:rFonts w:ascii="Times New Roman" w:hAnsi="Times New Roman" w:cs="Times New Roman"/>
          <w:i/>
          <w:sz w:val="24"/>
          <w:szCs w:val="24"/>
        </w:rPr>
        <w:t>Scientometrics</w:t>
      </w:r>
      <w:r>
        <w:rPr>
          <w:rFonts w:ascii="Times New Roman" w:hAnsi="Times New Roman" w:cs="Times New Roman"/>
          <w:sz w:val="24"/>
          <w:szCs w:val="24"/>
        </w:rPr>
        <w:t xml:space="preserve">, 95, </w:t>
      </w:r>
      <w:r w:rsidRPr="00DD7B39">
        <w:rPr>
          <w:rFonts w:ascii="Times New Roman" w:hAnsi="Times New Roman" w:cs="Times New Roman"/>
          <w:sz w:val="24"/>
          <w:szCs w:val="24"/>
        </w:rPr>
        <w:t>885–894</w:t>
      </w:r>
      <w:r>
        <w:rPr>
          <w:rFonts w:ascii="Times New Roman" w:hAnsi="Times New Roman" w:cs="Times New Roman"/>
          <w:sz w:val="24"/>
          <w:szCs w:val="24"/>
        </w:rPr>
        <w:t>.</w:t>
      </w:r>
    </w:p>
    <w:sectPr w:rsidR="004D19D2" w:rsidRPr="0068028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8C" w:rsidRDefault="001C1F8C" w:rsidP="00F72CAA">
      <w:pPr>
        <w:spacing w:line="240" w:lineRule="auto"/>
      </w:pPr>
      <w:r>
        <w:separator/>
      </w:r>
    </w:p>
  </w:endnote>
  <w:endnote w:type="continuationSeparator" w:id="0">
    <w:p w:rsidR="001C1F8C" w:rsidRDefault="001C1F8C" w:rsidP="00F72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FOUL Q+ Minion Pro">
    <w:altName w:val="EFOUL Q+ Minion Pro"/>
    <w:panose1 w:val="00000000000000000000"/>
    <w:charset w:val="00"/>
    <w:family w:val="roman"/>
    <w:notTrueType/>
    <w:pitch w:val="default"/>
    <w:sig w:usb0="00000003" w:usb1="00000000" w:usb2="00000000" w:usb3="00000000" w:csb0="00000001" w:csb1="00000000"/>
  </w:font>
  <w:font w:name="MinionPro-Regular">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966954"/>
      <w:docPartObj>
        <w:docPartGallery w:val="Page Numbers (Bottom of Page)"/>
        <w:docPartUnique/>
      </w:docPartObj>
    </w:sdtPr>
    <w:sdtEndPr/>
    <w:sdtContent>
      <w:p w:rsidR="001D333B" w:rsidRDefault="001D333B">
        <w:pPr>
          <w:pStyle w:val="Stopka"/>
          <w:jc w:val="center"/>
        </w:pPr>
        <w:r>
          <w:fldChar w:fldCharType="begin"/>
        </w:r>
        <w:r>
          <w:instrText>PAGE   \* MERGEFORMAT</w:instrText>
        </w:r>
        <w:r>
          <w:fldChar w:fldCharType="separate"/>
        </w:r>
        <w:r w:rsidR="004D19D2">
          <w:rPr>
            <w:noProof/>
          </w:rPr>
          <w:t>14</w:t>
        </w:r>
        <w:r>
          <w:fldChar w:fldCharType="end"/>
        </w:r>
        <w:r>
          <w:t xml:space="preserve"> z </w:t>
        </w:r>
        <w:r w:rsidR="001C1F8C">
          <w:fldChar w:fldCharType="begin"/>
        </w:r>
        <w:r w:rsidR="001C1F8C">
          <w:instrText xml:space="preserve"> NUMPAGES   \* MERGEFORMAT </w:instrText>
        </w:r>
        <w:r w:rsidR="001C1F8C">
          <w:fldChar w:fldCharType="separate"/>
        </w:r>
        <w:r w:rsidR="004D19D2">
          <w:rPr>
            <w:noProof/>
          </w:rPr>
          <w:t>15</w:t>
        </w:r>
        <w:r w:rsidR="001C1F8C">
          <w:rPr>
            <w:noProof/>
          </w:rPr>
          <w:fldChar w:fldCharType="end"/>
        </w:r>
      </w:p>
    </w:sdtContent>
  </w:sdt>
  <w:p w:rsidR="001D333B" w:rsidRDefault="001D33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8C" w:rsidRDefault="001C1F8C" w:rsidP="00F72CAA">
      <w:pPr>
        <w:spacing w:line="240" w:lineRule="auto"/>
      </w:pPr>
      <w:r>
        <w:separator/>
      </w:r>
    </w:p>
  </w:footnote>
  <w:footnote w:type="continuationSeparator" w:id="0">
    <w:p w:rsidR="001C1F8C" w:rsidRDefault="001C1F8C" w:rsidP="00F72CAA">
      <w:pPr>
        <w:spacing w:line="240" w:lineRule="auto"/>
      </w:pPr>
      <w:r>
        <w:continuationSeparator/>
      </w:r>
    </w:p>
  </w:footnote>
  <w:footnote w:id="1">
    <w:p w:rsidR="006B6232" w:rsidRDefault="001D333B" w:rsidP="00F72CAA">
      <w:pPr>
        <w:pStyle w:val="Tekstprzypisudolnego"/>
        <w:rPr>
          <w:rFonts w:ascii="Times New Roman" w:hAnsi="Times New Roman" w:cs="Times New Roman"/>
        </w:rPr>
      </w:pPr>
      <w:r w:rsidRPr="002D1E41">
        <w:rPr>
          <w:rStyle w:val="Odwoanieprzypisudolnego"/>
          <w:rFonts w:ascii="Times New Roman" w:hAnsi="Times New Roman" w:cs="Times New Roman"/>
        </w:rPr>
        <w:footnoteRef/>
      </w:r>
      <w:r w:rsidRPr="002D1E41">
        <w:rPr>
          <w:rFonts w:ascii="Times New Roman" w:hAnsi="Times New Roman" w:cs="Times New Roman"/>
        </w:rPr>
        <w:t xml:space="preserve"> </w:t>
      </w:r>
    </w:p>
    <w:p w:rsidR="001D333B" w:rsidRDefault="006B6232" w:rsidP="00F72CAA">
      <w:pPr>
        <w:pStyle w:val="Tekstprzypisudolnego"/>
        <w:rPr>
          <w:rFonts w:ascii="Times New Roman" w:hAnsi="Times New Roman" w:cs="Times New Roman"/>
        </w:rPr>
      </w:pPr>
      <w:r>
        <w:rPr>
          <w:rFonts w:ascii="Times New Roman" w:hAnsi="Times New Roman" w:cs="Times New Roman"/>
        </w:rPr>
        <w:t xml:space="preserve"> </w:t>
      </w:r>
    </w:p>
    <w:p w:rsidR="006B6232" w:rsidRPr="002D1E41" w:rsidRDefault="006B6232" w:rsidP="00F72CAA">
      <w:pPr>
        <w:pStyle w:val="Tekstprzypisudolnego"/>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5679D"/>
    <w:multiLevelType w:val="hybridMultilevel"/>
    <w:tmpl w:val="D5E2B5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D1258A"/>
    <w:multiLevelType w:val="hybridMultilevel"/>
    <w:tmpl w:val="B7C0D0B0"/>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EDE3504"/>
    <w:multiLevelType w:val="hybridMultilevel"/>
    <w:tmpl w:val="4E186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6B6C98"/>
    <w:multiLevelType w:val="hybridMultilevel"/>
    <w:tmpl w:val="802A681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6E297B17"/>
    <w:multiLevelType w:val="hybridMultilevel"/>
    <w:tmpl w:val="C92293BA"/>
    <w:lvl w:ilvl="0" w:tplc="381016AE">
      <w:start w:val="1"/>
      <w:numFmt w:val="bullet"/>
      <w:lvlText w:val=""/>
      <w:lvlJc w:val="left"/>
      <w:pPr>
        <w:ind w:left="360" w:hanging="360"/>
      </w:pPr>
      <w:rPr>
        <w:rFonts w:ascii="Symbol" w:hAnsi="Symbol" w:hint="default"/>
      </w:rPr>
    </w:lvl>
    <w:lvl w:ilvl="1" w:tplc="381016AE">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7F437824"/>
    <w:multiLevelType w:val="hybridMultilevel"/>
    <w:tmpl w:val="4516D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14"/>
    <w:rsid w:val="00023707"/>
    <w:rsid w:val="00023D69"/>
    <w:rsid w:val="000340A3"/>
    <w:rsid w:val="000474E4"/>
    <w:rsid w:val="00050034"/>
    <w:rsid w:val="00053D3D"/>
    <w:rsid w:val="00060DDF"/>
    <w:rsid w:val="00070BE0"/>
    <w:rsid w:val="00076E4C"/>
    <w:rsid w:val="000857CA"/>
    <w:rsid w:val="000864A6"/>
    <w:rsid w:val="00094AC0"/>
    <w:rsid w:val="00097AC6"/>
    <w:rsid w:val="000A7110"/>
    <w:rsid w:val="000B3E45"/>
    <w:rsid w:val="000D0B7D"/>
    <w:rsid w:val="000D0E96"/>
    <w:rsid w:val="000E5554"/>
    <w:rsid w:val="000E7226"/>
    <w:rsid w:val="000E7922"/>
    <w:rsid w:val="000E7C3D"/>
    <w:rsid w:val="000F3D7D"/>
    <w:rsid w:val="00107F4C"/>
    <w:rsid w:val="00114458"/>
    <w:rsid w:val="00117D38"/>
    <w:rsid w:val="00130212"/>
    <w:rsid w:val="00140C38"/>
    <w:rsid w:val="00144B84"/>
    <w:rsid w:val="001624C1"/>
    <w:rsid w:val="00166C64"/>
    <w:rsid w:val="00173526"/>
    <w:rsid w:val="00177D6B"/>
    <w:rsid w:val="00185547"/>
    <w:rsid w:val="0019693B"/>
    <w:rsid w:val="00196A35"/>
    <w:rsid w:val="001B309C"/>
    <w:rsid w:val="001C005D"/>
    <w:rsid w:val="001C1F8C"/>
    <w:rsid w:val="001C20E0"/>
    <w:rsid w:val="001D333B"/>
    <w:rsid w:val="001D6C4F"/>
    <w:rsid w:val="001E70F7"/>
    <w:rsid w:val="001F4AE2"/>
    <w:rsid w:val="00213A16"/>
    <w:rsid w:val="00217EA4"/>
    <w:rsid w:val="00233AC3"/>
    <w:rsid w:val="002448DA"/>
    <w:rsid w:val="002619EF"/>
    <w:rsid w:val="002628E0"/>
    <w:rsid w:val="00263622"/>
    <w:rsid w:val="0026581F"/>
    <w:rsid w:val="00270A6F"/>
    <w:rsid w:val="002A4167"/>
    <w:rsid w:val="002A599C"/>
    <w:rsid w:val="002A6F13"/>
    <w:rsid w:val="002A7A99"/>
    <w:rsid w:val="002B3E1F"/>
    <w:rsid w:val="002B533F"/>
    <w:rsid w:val="002C3652"/>
    <w:rsid w:val="002C40DF"/>
    <w:rsid w:val="002C7B02"/>
    <w:rsid w:val="002D0961"/>
    <w:rsid w:val="002F1426"/>
    <w:rsid w:val="002F729D"/>
    <w:rsid w:val="003070B3"/>
    <w:rsid w:val="00322D48"/>
    <w:rsid w:val="00325745"/>
    <w:rsid w:val="0034670A"/>
    <w:rsid w:val="0035020D"/>
    <w:rsid w:val="00360478"/>
    <w:rsid w:val="00397E4C"/>
    <w:rsid w:val="003B756E"/>
    <w:rsid w:val="003D1EB9"/>
    <w:rsid w:val="003D6FBD"/>
    <w:rsid w:val="003E175B"/>
    <w:rsid w:val="003E4485"/>
    <w:rsid w:val="00422208"/>
    <w:rsid w:val="00422703"/>
    <w:rsid w:val="00425DB0"/>
    <w:rsid w:val="00437560"/>
    <w:rsid w:val="00437A59"/>
    <w:rsid w:val="00451FCA"/>
    <w:rsid w:val="00462D2A"/>
    <w:rsid w:val="004826E5"/>
    <w:rsid w:val="00494FF1"/>
    <w:rsid w:val="004A22CF"/>
    <w:rsid w:val="004C0644"/>
    <w:rsid w:val="004C4556"/>
    <w:rsid w:val="004C5FE8"/>
    <w:rsid w:val="004D19D2"/>
    <w:rsid w:val="004E0D85"/>
    <w:rsid w:val="004E501E"/>
    <w:rsid w:val="004E5059"/>
    <w:rsid w:val="005030F8"/>
    <w:rsid w:val="00503A3E"/>
    <w:rsid w:val="00506C50"/>
    <w:rsid w:val="00510F2B"/>
    <w:rsid w:val="00523214"/>
    <w:rsid w:val="00536EC7"/>
    <w:rsid w:val="005378B3"/>
    <w:rsid w:val="00541F13"/>
    <w:rsid w:val="00544510"/>
    <w:rsid w:val="00545129"/>
    <w:rsid w:val="0055612A"/>
    <w:rsid w:val="0055721F"/>
    <w:rsid w:val="005651DA"/>
    <w:rsid w:val="00572EDB"/>
    <w:rsid w:val="005A5D7D"/>
    <w:rsid w:val="005B230F"/>
    <w:rsid w:val="005C5241"/>
    <w:rsid w:val="005C746D"/>
    <w:rsid w:val="005D1E16"/>
    <w:rsid w:val="005D3C04"/>
    <w:rsid w:val="005E377E"/>
    <w:rsid w:val="0060123D"/>
    <w:rsid w:val="00603B81"/>
    <w:rsid w:val="00606E2F"/>
    <w:rsid w:val="00607114"/>
    <w:rsid w:val="006071E2"/>
    <w:rsid w:val="006118DE"/>
    <w:rsid w:val="006164AB"/>
    <w:rsid w:val="0061660D"/>
    <w:rsid w:val="006201EB"/>
    <w:rsid w:val="00623670"/>
    <w:rsid w:val="006610F4"/>
    <w:rsid w:val="006716FB"/>
    <w:rsid w:val="00680282"/>
    <w:rsid w:val="00684578"/>
    <w:rsid w:val="006A603D"/>
    <w:rsid w:val="006B6232"/>
    <w:rsid w:val="006C1DD1"/>
    <w:rsid w:val="006C2687"/>
    <w:rsid w:val="006D014A"/>
    <w:rsid w:val="006D2282"/>
    <w:rsid w:val="006D3BAE"/>
    <w:rsid w:val="007075D0"/>
    <w:rsid w:val="007213B4"/>
    <w:rsid w:val="0072220F"/>
    <w:rsid w:val="0072412B"/>
    <w:rsid w:val="00730CA8"/>
    <w:rsid w:val="007353E4"/>
    <w:rsid w:val="00760075"/>
    <w:rsid w:val="007637AE"/>
    <w:rsid w:val="00786EDB"/>
    <w:rsid w:val="00795E01"/>
    <w:rsid w:val="007B27C0"/>
    <w:rsid w:val="007B7544"/>
    <w:rsid w:val="007C3181"/>
    <w:rsid w:val="007C6DBF"/>
    <w:rsid w:val="007E226D"/>
    <w:rsid w:val="007F6410"/>
    <w:rsid w:val="007F7E91"/>
    <w:rsid w:val="0081114D"/>
    <w:rsid w:val="008138FD"/>
    <w:rsid w:val="00817C32"/>
    <w:rsid w:val="008229EB"/>
    <w:rsid w:val="00825B3A"/>
    <w:rsid w:val="00835290"/>
    <w:rsid w:val="00837056"/>
    <w:rsid w:val="00847BD2"/>
    <w:rsid w:val="00853775"/>
    <w:rsid w:val="00866860"/>
    <w:rsid w:val="00881D3A"/>
    <w:rsid w:val="008844BC"/>
    <w:rsid w:val="00887EF5"/>
    <w:rsid w:val="00896703"/>
    <w:rsid w:val="008A16BD"/>
    <w:rsid w:val="008B2C8D"/>
    <w:rsid w:val="008C1BFE"/>
    <w:rsid w:val="008D0779"/>
    <w:rsid w:val="008F0766"/>
    <w:rsid w:val="00913523"/>
    <w:rsid w:val="0092006C"/>
    <w:rsid w:val="009229A2"/>
    <w:rsid w:val="00925934"/>
    <w:rsid w:val="00927CD3"/>
    <w:rsid w:val="0093579A"/>
    <w:rsid w:val="00937834"/>
    <w:rsid w:val="0094686F"/>
    <w:rsid w:val="00954714"/>
    <w:rsid w:val="009622B0"/>
    <w:rsid w:val="00981D59"/>
    <w:rsid w:val="00985737"/>
    <w:rsid w:val="009A0FF6"/>
    <w:rsid w:val="009B6E90"/>
    <w:rsid w:val="009E56E4"/>
    <w:rsid w:val="009E69A1"/>
    <w:rsid w:val="00A02E99"/>
    <w:rsid w:val="00A07091"/>
    <w:rsid w:val="00A07659"/>
    <w:rsid w:val="00A160A1"/>
    <w:rsid w:val="00A35FB7"/>
    <w:rsid w:val="00A4777B"/>
    <w:rsid w:val="00A55D44"/>
    <w:rsid w:val="00A56807"/>
    <w:rsid w:val="00A655E0"/>
    <w:rsid w:val="00A67E0A"/>
    <w:rsid w:val="00A703AE"/>
    <w:rsid w:val="00A75D88"/>
    <w:rsid w:val="00A76709"/>
    <w:rsid w:val="00A968C7"/>
    <w:rsid w:val="00AA1152"/>
    <w:rsid w:val="00AA1C00"/>
    <w:rsid w:val="00AA28C5"/>
    <w:rsid w:val="00AA3BE0"/>
    <w:rsid w:val="00AA71A6"/>
    <w:rsid w:val="00AB0276"/>
    <w:rsid w:val="00AB7CB5"/>
    <w:rsid w:val="00AC7B1A"/>
    <w:rsid w:val="00AE215D"/>
    <w:rsid w:val="00AE6B68"/>
    <w:rsid w:val="00AE6DA2"/>
    <w:rsid w:val="00AF0F38"/>
    <w:rsid w:val="00B0476A"/>
    <w:rsid w:val="00B13D5A"/>
    <w:rsid w:val="00B36AC9"/>
    <w:rsid w:val="00B411A8"/>
    <w:rsid w:val="00B52E69"/>
    <w:rsid w:val="00B70B4A"/>
    <w:rsid w:val="00B74686"/>
    <w:rsid w:val="00B9008B"/>
    <w:rsid w:val="00B91940"/>
    <w:rsid w:val="00B94517"/>
    <w:rsid w:val="00BA3EDE"/>
    <w:rsid w:val="00BB5A1F"/>
    <w:rsid w:val="00BD4A80"/>
    <w:rsid w:val="00BD5BBF"/>
    <w:rsid w:val="00BE5E3F"/>
    <w:rsid w:val="00C10A6D"/>
    <w:rsid w:val="00C11E19"/>
    <w:rsid w:val="00C20925"/>
    <w:rsid w:val="00C20EA9"/>
    <w:rsid w:val="00C37E5F"/>
    <w:rsid w:val="00C456DA"/>
    <w:rsid w:val="00C503DC"/>
    <w:rsid w:val="00C53CC8"/>
    <w:rsid w:val="00C65066"/>
    <w:rsid w:val="00C67200"/>
    <w:rsid w:val="00C73747"/>
    <w:rsid w:val="00C83CE7"/>
    <w:rsid w:val="00C939B2"/>
    <w:rsid w:val="00C94875"/>
    <w:rsid w:val="00C965BE"/>
    <w:rsid w:val="00CD5405"/>
    <w:rsid w:val="00CD5563"/>
    <w:rsid w:val="00CD67DC"/>
    <w:rsid w:val="00CD73B1"/>
    <w:rsid w:val="00CE21A2"/>
    <w:rsid w:val="00CE5554"/>
    <w:rsid w:val="00CE5819"/>
    <w:rsid w:val="00D1012B"/>
    <w:rsid w:val="00D10CA6"/>
    <w:rsid w:val="00D21628"/>
    <w:rsid w:val="00D2367C"/>
    <w:rsid w:val="00D3356A"/>
    <w:rsid w:val="00D375F2"/>
    <w:rsid w:val="00D72994"/>
    <w:rsid w:val="00D74675"/>
    <w:rsid w:val="00D8128A"/>
    <w:rsid w:val="00D9418F"/>
    <w:rsid w:val="00D94DDA"/>
    <w:rsid w:val="00DA1A69"/>
    <w:rsid w:val="00DB79B2"/>
    <w:rsid w:val="00DC0FCB"/>
    <w:rsid w:val="00DC69F5"/>
    <w:rsid w:val="00DD1D60"/>
    <w:rsid w:val="00DD64CA"/>
    <w:rsid w:val="00DD7B39"/>
    <w:rsid w:val="00DE58E5"/>
    <w:rsid w:val="00DF2740"/>
    <w:rsid w:val="00DF2AAC"/>
    <w:rsid w:val="00E01E60"/>
    <w:rsid w:val="00E12070"/>
    <w:rsid w:val="00E145AD"/>
    <w:rsid w:val="00E1480C"/>
    <w:rsid w:val="00E2493A"/>
    <w:rsid w:val="00E25C66"/>
    <w:rsid w:val="00E35528"/>
    <w:rsid w:val="00E35867"/>
    <w:rsid w:val="00E43A29"/>
    <w:rsid w:val="00E4689F"/>
    <w:rsid w:val="00E53FA0"/>
    <w:rsid w:val="00E54878"/>
    <w:rsid w:val="00E55AF5"/>
    <w:rsid w:val="00E56883"/>
    <w:rsid w:val="00E65481"/>
    <w:rsid w:val="00E773D8"/>
    <w:rsid w:val="00E9085C"/>
    <w:rsid w:val="00E926B2"/>
    <w:rsid w:val="00E93B35"/>
    <w:rsid w:val="00EA0098"/>
    <w:rsid w:val="00EB17E2"/>
    <w:rsid w:val="00EB31CB"/>
    <w:rsid w:val="00EB40C8"/>
    <w:rsid w:val="00EB65D3"/>
    <w:rsid w:val="00EC3EDC"/>
    <w:rsid w:val="00ED6D44"/>
    <w:rsid w:val="00EF105B"/>
    <w:rsid w:val="00EF4483"/>
    <w:rsid w:val="00F0108B"/>
    <w:rsid w:val="00F14210"/>
    <w:rsid w:val="00F254B6"/>
    <w:rsid w:val="00F257AC"/>
    <w:rsid w:val="00F34EEA"/>
    <w:rsid w:val="00F35DF2"/>
    <w:rsid w:val="00F372EE"/>
    <w:rsid w:val="00F46E81"/>
    <w:rsid w:val="00F52997"/>
    <w:rsid w:val="00F62559"/>
    <w:rsid w:val="00F70CDD"/>
    <w:rsid w:val="00F72CAA"/>
    <w:rsid w:val="00F73EDD"/>
    <w:rsid w:val="00F94EFE"/>
    <w:rsid w:val="00FA5536"/>
    <w:rsid w:val="00FB4453"/>
    <w:rsid w:val="00FB4D94"/>
    <w:rsid w:val="00FC6EF8"/>
    <w:rsid w:val="00FD4B44"/>
    <w:rsid w:val="00FF1855"/>
    <w:rsid w:val="00FF43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7023B-E905-4956-839F-3051BA0B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214"/>
    <w:pPr>
      <w:spacing w:after="0" w:line="360" w:lineRule="auto"/>
      <w:ind w:left="284"/>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single space,footnote text,FOOTNOTES,fn,Podrozdział,Fußnote,Footnote,Podrozdzia3,przypis,Tekst przypisu dolnego Znak Znak,Tekst przypisu dolnego Znak Znak Znak Znak,Podrozdział Znak Znak"/>
    <w:basedOn w:val="Normalny"/>
    <w:link w:val="TekstprzypisudolnegoZnak"/>
    <w:uiPriority w:val="99"/>
    <w:unhideWhenUsed/>
    <w:qFormat/>
    <w:rsid w:val="00F72CAA"/>
    <w:pPr>
      <w:spacing w:line="240" w:lineRule="auto"/>
    </w:pPr>
    <w:rPr>
      <w:sz w:val="20"/>
      <w:szCs w:val="20"/>
    </w:rPr>
  </w:style>
  <w:style w:type="character" w:customStyle="1" w:styleId="TekstprzypisudolnegoZnak">
    <w:name w:val="Tekst przypisu dolnego Znak"/>
    <w:aliases w:val="Tekst przypisu Znak,single space Znak,footnote text Znak,FOOTNOTES Znak,fn Znak,Podrozdział Znak,Fußnote Znak,Footnote Znak,Podrozdzia3 Znak,przypis Znak,Tekst przypisu dolnego Znak Znak Znak,Podrozdział Znak Znak Znak"/>
    <w:basedOn w:val="Domylnaczcionkaakapitu"/>
    <w:link w:val="Tekstprzypisudolnego"/>
    <w:uiPriority w:val="99"/>
    <w:rsid w:val="00F72CAA"/>
    <w:rPr>
      <w:sz w:val="20"/>
      <w:szCs w:val="20"/>
    </w:rPr>
  </w:style>
  <w:style w:type="character" w:styleId="Odwoanieprzypisudolnego">
    <w:name w:val="footnote reference"/>
    <w:aliases w:val="Odwołanie przypisu"/>
    <w:basedOn w:val="Domylnaczcionkaakapitu"/>
    <w:uiPriority w:val="99"/>
    <w:semiHidden/>
    <w:unhideWhenUsed/>
    <w:rsid w:val="00F72CAA"/>
    <w:rPr>
      <w:vertAlign w:val="superscript"/>
    </w:rPr>
  </w:style>
  <w:style w:type="table" w:styleId="Tabela-Siatka">
    <w:name w:val="Table Grid"/>
    <w:basedOn w:val="Standardowy"/>
    <w:uiPriority w:val="59"/>
    <w:rsid w:val="00E2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
    <w:name w:val="Grid Table 2"/>
    <w:basedOn w:val="Standardowy"/>
    <w:uiPriority w:val="47"/>
    <w:rsid w:val="00E25C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iatkatabelijasna">
    <w:name w:val="Grid Table Light"/>
    <w:basedOn w:val="Standardowy"/>
    <w:uiPriority w:val="40"/>
    <w:rsid w:val="00E25C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kapitzlist">
    <w:name w:val="List Paragraph"/>
    <w:basedOn w:val="Normalny"/>
    <w:uiPriority w:val="34"/>
    <w:qFormat/>
    <w:rsid w:val="00053D3D"/>
    <w:pPr>
      <w:ind w:left="720"/>
      <w:contextualSpacing/>
    </w:pPr>
  </w:style>
  <w:style w:type="character" w:styleId="Hipercze">
    <w:name w:val="Hyperlink"/>
    <w:basedOn w:val="Domylnaczcionkaakapitu"/>
    <w:uiPriority w:val="99"/>
    <w:unhideWhenUsed/>
    <w:rsid w:val="00E43A29"/>
    <w:rPr>
      <w:color w:val="0000FF" w:themeColor="hyperlink"/>
      <w:u w:val="single"/>
    </w:rPr>
  </w:style>
  <w:style w:type="paragraph" w:customStyle="1" w:styleId="cc">
    <w:name w:val="cc"/>
    <w:uiPriority w:val="99"/>
    <w:rsid w:val="00F46E81"/>
    <w:pPr>
      <w:autoSpaceDE w:val="0"/>
      <w:autoSpaceDN w:val="0"/>
      <w:spacing w:after="240" w:line="240" w:lineRule="auto"/>
      <w:ind w:firstLine="567"/>
      <w:jc w:val="both"/>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86686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860"/>
  </w:style>
  <w:style w:type="paragraph" w:styleId="Stopka">
    <w:name w:val="footer"/>
    <w:basedOn w:val="Normalny"/>
    <w:link w:val="StopkaZnak"/>
    <w:uiPriority w:val="99"/>
    <w:unhideWhenUsed/>
    <w:rsid w:val="00866860"/>
    <w:pPr>
      <w:tabs>
        <w:tab w:val="center" w:pos="4536"/>
        <w:tab w:val="right" w:pos="9072"/>
      </w:tabs>
      <w:spacing w:line="240" w:lineRule="auto"/>
    </w:pPr>
  </w:style>
  <w:style w:type="character" w:customStyle="1" w:styleId="StopkaZnak">
    <w:name w:val="Stopka Znak"/>
    <w:basedOn w:val="Domylnaczcionkaakapitu"/>
    <w:link w:val="Stopka"/>
    <w:uiPriority w:val="99"/>
    <w:rsid w:val="00866860"/>
  </w:style>
  <w:style w:type="paragraph" w:styleId="Tekstdymka">
    <w:name w:val="Balloon Text"/>
    <w:basedOn w:val="Normalny"/>
    <w:link w:val="TekstdymkaZnak"/>
    <w:uiPriority w:val="99"/>
    <w:semiHidden/>
    <w:unhideWhenUsed/>
    <w:rsid w:val="002C7B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B0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97AC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7AC6"/>
    <w:rPr>
      <w:sz w:val="20"/>
      <w:szCs w:val="20"/>
    </w:rPr>
  </w:style>
  <w:style w:type="character" w:styleId="Odwoanieprzypisukocowego">
    <w:name w:val="endnote reference"/>
    <w:basedOn w:val="Domylnaczcionkaakapitu"/>
    <w:uiPriority w:val="99"/>
    <w:semiHidden/>
    <w:unhideWhenUsed/>
    <w:rsid w:val="00097AC6"/>
    <w:rPr>
      <w:vertAlign w:val="superscript"/>
    </w:rPr>
  </w:style>
  <w:style w:type="paragraph" w:customStyle="1" w:styleId="bibliografia1">
    <w:name w:val="bibliografia1"/>
    <w:basedOn w:val="Normalny"/>
    <w:rsid w:val="00117D38"/>
    <w:pPr>
      <w:spacing w:line="220" w:lineRule="exact"/>
      <w:ind w:left="300" w:hanging="300"/>
    </w:pPr>
    <w:rPr>
      <w:rFonts w:ascii="Times New Roman" w:eastAsia="Times New Roman" w:hAnsi="Times New Roman" w:cs="Times New Roman"/>
      <w:sz w:val="18"/>
      <w:szCs w:val="20"/>
      <w:lang w:val="en-US" w:eastAsia="pl-PL"/>
    </w:rPr>
  </w:style>
  <w:style w:type="character" w:customStyle="1" w:styleId="A2">
    <w:name w:val="A2"/>
    <w:uiPriority w:val="99"/>
    <w:rsid w:val="00107F4C"/>
    <w:rPr>
      <w:rFonts w:cs="EFOUL Q+ Minion Pro"/>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Arkusz9!$A$4</c:f>
              <c:strCache>
                <c:ptCount val="1"/>
                <c:pt idx="0">
                  <c:v>USA</c:v>
                </c:pt>
              </c:strCache>
            </c:strRef>
          </c:tx>
          <c:spPr>
            <a:solidFill>
              <a:schemeClr val="dk1">
                <a:tint val="88500"/>
              </a:schemeClr>
            </a:solidFill>
            <a:ln>
              <a:noFill/>
            </a:ln>
            <a:effectLst/>
          </c:spPr>
          <c:invertIfNegative val="0"/>
          <c:cat>
            <c:numRef>
              <c:f>Arkusz9!$B$3:$AH$3</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Arkusz9!$B$4:$AH$4</c:f>
              <c:numCache>
                <c:formatCode>General</c:formatCode>
                <c:ptCount val="33"/>
                <c:pt idx="0">
                  <c:v>72.749616720083196</c:v>
                </c:pt>
                <c:pt idx="1">
                  <c:v>81.165867532895703</c:v>
                </c:pt>
                <c:pt idx="2">
                  <c:v>90.403063156762101</c:v>
                </c:pt>
                <c:pt idx="3">
                  <c:v>102.874498522493</c:v>
                </c:pt>
                <c:pt idx="4">
                  <c:v>115.218824378997</c:v>
                </c:pt>
                <c:pt idx="5">
                  <c:v>120.561752206973</c:v>
                </c:pt>
                <c:pt idx="6">
                  <c:v>126.66652838587201</c:v>
                </c:pt>
                <c:pt idx="7">
                  <c:v>134.202138255535</c:v>
                </c:pt>
                <c:pt idx="8">
                  <c:v>142.22561897992799</c:v>
                </c:pt>
                <c:pt idx="9">
                  <c:v>152.38869538823099</c:v>
                </c:pt>
                <c:pt idx="10">
                  <c:v>161.38779673842899</c:v>
                </c:pt>
                <c:pt idx="11">
                  <c:v>165.834735870635</c:v>
                </c:pt>
                <c:pt idx="12">
                  <c:v>166.14650149206</c:v>
                </c:pt>
                <c:pt idx="13">
                  <c:v>169.612535112968</c:v>
                </c:pt>
                <c:pt idx="14">
                  <c:v>184.07699218351001</c:v>
                </c:pt>
                <c:pt idx="15">
                  <c:v>197.79214951541002</c:v>
                </c:pt>
                <c:pt idx="16">
                  <c:v>212.70878898114699</c:v>
                </c:pt>
                <c:pt idx="17">
                  <c:v>226.934</c:v>
                </c:pt>
                <c:pt idx="18">
                  <c:v>245.548</c:v>
                </c:pt>
                <c:pt idx="19">
                  <c:v>269.51299999999998</c:v>
                </c:pt>
                <c:pt idx="20">
                  <c:v>280.238</c:v>
                </c:pt>
                <c:pt idx="21">
                  <c:v>279.89100000000002</c:v>
                </c:pt>
                <c:pt idx="22">
                  <c:v>293.85199999999998</c:v>
                </c:pt>
                <c:pt idx="23">
                  <c:v>305.64</c:v>
                </c:pt>
                <c:pt idx="24">
                  <c:v>328.12799999999999</c:v>
                </c:pt>
                <c:pt idx="25">
                  <c:v>353.32799999999997</c:v>
                </c:pt>
                <c:pt idx="26">
                  <c:v>380.31599999999997</c:v>
                </c:pt>
                <c:pt idx="27">
                  <c:v>407.238</c:v>
                </c:pt>
                <c:pt idx="28">
                  <c:v>406</c:v>
                </c:pt>
                <c:pt idx="29">
                  <c:v>409.59899999999999</c:v>
                </c:pt>
                <c:pt idx="30">
                  <c:v>429.14299999999997</c:v>
                </c:pt>
                <c:pt idx="31">
                  <c:v>453.54399999999998</c:v>
                </c:pt>
                <c:pt idx="32">
                  <c:v>453.54399999999998</c:v>
                </c:pt>
              </c:numCache>
            </c:numRef>
          </c:val>
        </c:ser>
        <c:ser>
          <c:idx val="1"/>
          <c:order val="1"/>
          <c:tx>
            <c:strRef>
              <c:f>Arkusz9!$A$5</c:f>
              <c:strCache>
                <c:ptCount val="1"/>
                <c:pt idx="0">
                  <c:v>Chiny</c:v>
                </c:pt>
              </c:strCache>
            </c:strRef>
          </c:tx>
          <c:spPr>
            <a:solidFill>
              <a:schemeClr val="dk1">
                <a:tint val="55000"/>
              </a:schemeClr>
            </a:solidFill>
            <a:ln>
              <a:noFill/>
            </a:ln>
            <a:effectLst/>
          </c:spPr>
          <c:invertIfNegative val="0"/>
          <c:cat>
            <c:numRef>
              <c:f>Arkusz9!$B$3:$AH$3</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Arkusz9!$B$5:$AH$5</c:f>
              <c:numCache>
                <c:formatCode>General</c:formatCode>
                <c:ptCount val="33"/>
                <c:pt idx="0">
                  <c:v>0</c:v>
                </c:pt>
                <c:pt idx="1">
                  <c:v>0</c:v>
                </c:pt>
                <c:pt idx="2">
                  <c:v>0</c:v>
                </c:pt>
                <c:pt idx="3">
                  <c:v>0</c:v>
                </c:pt>
                <c:pt idx="4">
                  <c:v>0</c:v>
                </c:pt>
                <c:pt idx="5">
                  <c:v>0</c:v>
                </c:pt>
                <c:pt idx="6">
                  <c:v>0</c:v>
                </c:pt>
                <c:pt idx="7">
                  <c:v>0</c:v>
                </c:pt>
                <c:pt idx="8">
                  <c:v>0</c:v>
                </c:pt>
                <c:pt idx="9">
                  <c:v>0</c:v>
                </c:pt>
                <c:pt idx="10">
                  <c:v>7.5359168241966001</c:v>
                </c:pt>
                <c:pt idx="11">
                  <c:v>8.8524810013410811</c:v>
                </c:pt>
                <c:pt idx="12">
                  <c:v>9.8455736403334697</c:v>
                </c:pt>
                <c:pt idx="13">
                  <c:v>10.290994623655902</c:v>
                </c:pt>
                <c:pt idx="14">
                  <c:v>10.515379975874501</c:v>
                </c:pt>
                <c:pt idx="15">
                  <c:v>11.680046202714401</c:v>
                </c:pt>
                <c:pt idx="16">
                  <c:v>14.741169658367101</c:v>
                </c:pt>
                <c:pt idx="17">
                  <c:v>16.276432368576501</c:v>
                </c:pt>
                <c:pt idx="18">
                  <c:v>20.597694174757301</c:v>
                </c:pt>
                <c:pt idx="19">
                  <c:v>32.646607662280999</c:v>
                </c:pt>
                <c:pt idx="20">
                  <c:v>38.086771102233705</c:v>
                </c:pt>
                <c:pt idx="21">
                  <c:v>47.4798212732384</c:v>
                </c:pt>
                <c:pt idx="22">
                  <c:v>56.447112615251896</c:v>
                </c:pt>
                <c:pt idx="23">
                  <c:v>69.268816120401297</c:v>
                </c:pt>
                <c:pt idx="24">
                  <c:v>85.714196800448804</c:v>
                </c:pt>
                <c:pt idx="25">
                  <c:v>104.323724932537</c:v>
                </c:pt>
                <c:pt idx="26">
                  <c:v>122.921580191551</c:v>
                </c:pt>
                <c:pt idx="27">
                  <c:v>144.68485037343601</c:v>
                </c:pt>
                <c:pt idx="28">
                  <c:v>184.37915583607</c:v>
                </c:pt>
                <c:pt idx="29">
                  <c:v>213.00991079053398</c:v>
                </c:pt>
                <c:pt idx="30">
                  <c:v>247.80830328524399</c:v>
                </c:pt>
                <c:pt idx="31">
                  <c:v>293.06452163643002</c:v>
                </c:pt>
                <c:pt idx="32">
                  <c:v>336.49543850864706</c:v>
                </c:pt>
              </c:numCache>
            </c:numRef>
          </c:val>
        </c:ser>
        <c:ser>
          <c:idx val="2"/>
          <c:order val="2"/>
          <c:tx>
            <c:strRef>
              <c:f>Arkusz9!$A$6</c:f>
              <c:strCache>
                <c:ptCount val="1"/>
                <c:pt idx="0">
                  <c:v>Japonia</c:v>
                </c:pt>
              </c:strCache>
            </c:strRef>
          </c:tx>
          <c:spPr>
            <a:solidFill>
              <a:schemeClr val="dk1">
                <a:tint val="75000"/>
              </a:schemeClr>
            </a:solidFill>
            <a:ln>
              <a:noFill/>
            </a:ln>
            <a:effectLst/>
          </c:spPr>
          <c:invertIfNegative val="0"/>
          <c:cat>
            <c:numRef>
              <c:f>Arkusz9!$B$3:$AH$3</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Arkusz9!$B$6:$AH$6</c:f>
              <c:numCache>
                <c:formatCode>General</c:formatCode>
                <c:ptCount val="33"/>
                <c:pt idx="0">
                  <c:v>25.632583557211202</c:v>
                </c:pt>
                <c:pt idx="1">
                  <c:v>29.222752884722102</c:v>
                </c:pt>
                <c:pt idx="2">
                  <c:v>33.110147045349798</c:v>
                </c:pt>
                <c:pt idx="3">
                  <c:v>37.1182862481703</c:v>
                </c:pt>
                <c:pt idx="4">
                  <c:v>42.651245797247299</c:v>
                </c:pt>
                <c:pt idx="5">
                  <c:v>44.302128785418397</c:v>
                </c:pt>
                <c:pt idx="6">
                  <c:v>48.846218292701998</c:v>
                </c:pt>
                <c:pt idx="7">
                  <c:v>54.416591901600704</c:v>
                </c:pt>
                <c:pt idx="8">
                  <c:v>61.422608672438905</c:v>
                </c:pt>
                <c:pt idx="9">
                  <c:v>69.052523962290792</c:v>
                </c:pt>
                <c:pt idx="10">
                  <c:v>73.377717208058499</c:v>
                </c:pt>
                <c:pt idx="11">
                  <c:v>74.686760671272395</c:v>
                </c:pt>
                <c:pt idx="12">
                  <c:v>74.899200979120309</c:v>
                </c:pt>
                <c:pt idx="13">
                  <c:v>75.747927148006198</c:v>
                </c:pt>
                <c:pt idx="14">
                  <c:v>82.3482606392718</c:v>
                </c:pt>
                <c:pt idx="15">
                  <c:v>82.971883479066804</c:v>
                </c:pt>
                <c:pt idx="16">
                  <c:v>87.787052308807702</c:v>
                </c:pt>
                <c:pt idx="17">
                  <c:v>91.062233412898593</c:v>
                </c:pt>
                <c:pt idx="18">
                  <c:v>92.773730042520199</c:v>
                </c:pt>
                <c:pt idx="19">
                  <c:v>98.757998144288891</c:v>
                </c:pt>
                <c:pt idx="20">
                  <c:v>103.82576223426</c:v>
                </c:pt>
                <c:pt idx="21">
                  <c:v>108.16622532590699</c:v>
                </c:pt>
                <c:pt idx="22">
                  <c:v>112.19226208455399</c:v>
                </c:pt>
                <c:pt idx="23">
                  <c:v>117.59789368736</c:v>
                </c:pt>
                <c:pt idx="24">
                  <c:v>128.69456138843199</c:v>
                </c:pt>
                <c:pt idx="25">
                  <c:v>138.56485091747501</c:v>
                </c:pt>
                <c:pt idx="26">
                  <c:v>147.602228083791</c:v>
                </c:pt>
                <c:pt idx="27">
                  <c:v>148.71923464664201</c:v>
                </c:pt>
                <c:pt idx="28">
                  <c:v>136.95395696760301</c:v>
                </c:pt>
                <c:pt idx="29">
                  <c:v>140.60742765917999</c:v>
                </c:pt>
                <c:pt idx="30">
                  <c:v>148.38922942012198</c:v>
                </c:pt>
                <c:pt idx="31">
                  <c:v>151.810009453828</c:v>
                </c:pt>
                <c:pt idx="32">
                  <c:v>160.246832208716</c:v>
                </c:pt>
              </c:numCache>
            </c:numRef>
          </c:val>
        </c:ser>
        <c:ser>
          <c:idx val="3"/>
          <c:order val="3"/>
          <c:tx>
            <c:strRef>
              <c:f>Arkusz9!$A$7</c:f>
              <c:strCache>
                <c:ptCount val="1"/>
                <c:pt idx="0">
                  <c:v>Niemcy</c:v>
                </c:pt>
              </c:strCache>
            </c:strRef>
          </c:tx>
          <c:spPr>
            <a:solidFill>
              <a:schemeClr val="dk1">
                <a:tint val="98500"/>
              </a:schemeClr>
            </a:solidFill>
            <a:ln>
              <a:noFill/>
            </a:ln>
            <a:effectLst/>
          </c:spPr>
          <c:invertIfNegative val="0"/>
          <c:cat>
            <c:numRef>
              <c:f>Arkusz9!$B$3:$AH$3</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Arkusz9!$B$7:$AH$7</c:f>
              <c:numCache>
                <c:formatCode>General</c:formatCode>
                <c:ptCount val="33"/>
                <c:pt idx="0">
                  <c:v>18.452785842713002</c:v>
                </c:pt>
                <c:pt idx="1">
                  <c:v>20.0689869565457</c:v>
                </c:pt>
                <c:pt idx="2">
                  <c:v>21.257844993208401</c:v>
                </c:pt>
                <c:pt idx="3">
                  <c:v>22.684158772721901</c:v>
                </c:pt>
                <c:pt idx="4">
                  <c:v>25.6455942985375</c:v>
                </c:pt>
                <c:pt idx="5">
                  <c:v>27.097255292371702</c:v>
                </c:pt>
                <c:pt idx="6">
                  <c:v>29.487149174231099</c:v>
                </c:pt>
                <c:pt idx="7">
                  <c:v>31.485450642832902</c:v>
                </c:pt>
                <c:pt idx="8">
                  <c:v>33.750776381069997</c:v>
                </c:pt>
                <c:pt idx="9">
                  <c:v>35.436672332954501</c:v>
                </c:pt>
                <c:pt idx="10">
                  <c:v>39.563797332465199</c:v>
                </c:pt>
                <c:pt idx="11">
                  <c:v>39.281864729239501</c:v>
                </c:pt>
                <c:pt idx="12">
                  <c:v>38.541713982180802</c:v>
                </c:pt>
                <c:pt idx="13">
                  <c:v>38.666655252500398</c:v>
                </c:pt>
                <c:pt idx="14">
                  <c:v>40.241532422284294</c:v>
                </c:pt>
                <c:pt idx="15">
                  <c:v>41.472709263817798</c:v>
                </c:pt>
                <c:pt idx="16">
                  <c:v>43.320585895133505</c:v>
                </c:pt>
                <c:pt idx="17">
                  <c:v>45.208870252354899</c:v>
                </c:pt>
                <c:pt idx="18">
                  <c:v>49.431531326059499</c:v>
                </c:pt>
                <c:pt idx="19">
                  <c:v>52.3753964005735</c:v>
                </c:pt>
                <c:pt idx="20">
                  <c:v>54.453395539114197</c:v>
                </c:pt>
                <c:pt idx="21">
                  <c:v>56.657034080098704</c:v>
                </c:pt>
                <c:pt idx="22">
                  <c:v>59.5275083308387</c:v>
                </c:pt>
                <c:pt idx="23">
                  <c:v>61.330868498963298</c:v>
                </c:pt>
                <c:pt idx="24">
                  <c:v>64.298787980266297</c:v>
                </c:pt>
                <c:pt idx="25">
                  <c:v>70.228974047991898</c:v>
                </c:pt>
                <c:pt idx="26">
                  <c:v>74.023145355151598</c:v>
                </c:pt>
                <c:pt idx="27">
                  <c:v>81.9706562094063</c:v>
                </c:pt>
                <c:pt idx="28">
                  <c:v>82.8221523691371</c:v>
                </c:pt>
                <c:pt idx="29">
                  <c:v>87.822012808923589</c:v>
                </c:pt>
                <c:pt idx="30">
                  <c:v>96.282448245558598</c:v>
                </c:pt>
                <c:pt idx="31">
                  <c:v>100.69906906582899</c:v>
                </c:pt>
                <c:pt idx="32">
                  <c:v>103.90902025409099</c:v>
                </c:pt>
              </c:numCache>
            </c:numRef>
          </c:val>
        </c:ser>
        <c:ser>
          <c:idx val="4"/>
          <c:order val="4"/>
          <c:tx>
            <c:strRef>
              <c:f>Arkusz9!$A$8</c:f>
              <c:strCache>
                <c:ptCount val="1"/>
                <c:pt idx="0">
                  <c:v>Korea Płd.</c:v>
                </c:pt>
              </c:strCache>
            </c:strRef>
          </c:tx>
          <c:spPr>
            <a:solidFill>
              <a:schemeClr val="dk1">
                <a:tint val="30000"/>
              </a:schemeClr>
            </a:solidFill>
            <a:ln>
              <a:noFill/>
            </a:ln>
            <a:effectLst/>
          </c:spPr>
          <c:invertIfNegative val="0"/>
          <c:cat>
            <c:numRef>
              <c:f>Arkusz9!$B$3:$AH$3</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Arkusz9!$B$8:$AH$8</c:f>
              <c:numCache>
                <c:formatCode>General</c:formatCode>
                <c:ptCount val="33"/>
                <c:pt idx="0">
                  <c:v>0</c:v>
                </c:pt>
                <c:pt idx="1">
                  <c:v>0</c:v>
                </c:pt>
                <c:pt idx="2">
                  <c:v>0</c:v>
                </c:pt>
                <c:pt idx="3">
                  <c:v>0</c:v>
                </c:pt>
                <c:pt idx="4">
                  <c:v>0</c:v>
                </c:pt>
                <c:pt idx="5">
                  <c:v>0</c:v>
                </c:pt>
                <c:pt idx="6">
                  <c:v>0</c:v>
                </c:pt>
                <c:pt idx="7">
                  <c:v>0</c:v>
                </c:pt>
                <c:pt idx="8">
                  <c:v>0</c:v>
                </c:pt>
                <c:pt idx="9">
                  <c:v>0</c:v>
                </c:pt>
                <c:pt idx="10">
                  <c:v>7.1407857974256306</c:v>
                </c:pt>
                <c:pt idx="11">
                  <c:v>8.1318865242230611</c:v>
                </c:pt>
                <c:pt idx="12">
                  <c:v>9.629689798735809</c:v>
                </c:pt>
                <c:pt idx="13">
                  <c:v>11.7128601951745</c:v>
                </c:pt>
                <c:pt idx="14">
                  <c:v>13.3048861295535</c:v>
                </c:pt>
                <c:pt idx="15">
                  <c:v>14.882713260691201</c:v>
                </c:pt>
                <c:pt idx="16">
                  <c:v>16.338282779057899</c:v>
                </c:pt>
                <c:pt idx="17">
                  <c:v>14.646155894246199</c:v>
                </c:pt>
                <c:pt idx="18">
                  <c:v>15.792638789575699</c:v>
                </c:pt>
                <c:pt idx="19">
                  <c:v>18.541715036213901</c:v>
                </c:pt>
                <c:pt idx="20">
                  <c:v>21.284912522182101</c:v>
                </c:pt>
                <c:pt idx="21">
                  <c:v>22.5067756799073</c:v>
                </c:pt>
                <c:pt idx="22">
                  <c:v>24.0717125028055</c:v>
                </c:pt>
                <c:pt idx="23">
                  <c:v>27.942353644662397</c:v>
                </c:pt>
                <c:pt idx="24">
                  <c:v>30.618325651079601</c:v>
                </c:pt>
                <c:pt idx="25">
                  <c:v>35.4130645164106</c:v>
                </c:pt>
                <c:pt idx="26">
                  <c:v>40.6402658214082</c:v>
                </c:pt>
                <c:pt idx="27">
                  <c:v>43.906412763075004</c:v>
                </c:pt>
                <c:pt idx="28">
                  <c:v>45.987242149070397</c:v>
                </c:pt>
                <c:pt idx="29">
                  <c:v>52.172793256958997</c:v>
                </c:pt>
                <c:pt idx="30">
                  <c:v>58.3796541633494</c:v>
                </c:pt>
                <c:pt idx="31">
                  <c:v>64.458180707752106</c:v>
                </c:pt>
                <c:pt idx="32">
                  <c:v>68.936979673034898</c:v>
                </c:pt>
              </c:numCache>
            </c:numRef>
          </c:val>
        </c:ser>
        <c:ser>
          <c:idx val="5"/>
          <c:order val="5"/>
          <c:tx>
            <c:strRef>
              <c:f>Arkusz9!$A$9</c:f>
              <c:strCache>
                <c:ptCount val="1"/>
                <c:pt idx="0">
                  <c:v>Francja</c:v>
                </c:pt>
              </c:strCache>
            </c:strRef>
          </c:tx>
          <c:spPr>
            <a:solidFill>
              <a:schemeClr val="dk1">
                <a:tint val="60000"/>
              </a:schemeClr>
            </a:solidFill>
            <a:ln>
              <a:noFill/>
            </a:ln>
            <a:effectLst/>
          </c:spPr>
          <c:invertIfNegative val="0"/>
          <c:cat>
            <c:numRef>
              <c:f>Arkusz9!$B$3:$AH$3</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Arkusz9!$B$9:$AH$9</c:f>
              <c:numCache>
                <c:formatCode>General</c:formatCode>
                <c:ptCount val="33"/>
                <c:pt idx="0">
                  <c:v>10.9959583802786</c:v>
                </c:pt>
                <c:pt idx="1">
                  <c:v>12.466416692447599</c:v>
                </c:pt>
                <c:pt idx="2">
                  <c:v>13.3634461056446</c:v>
                </c:pt>
                <c:pt idx="3">
                  <c:v>14.709313183675901</c:v>
                </c:pt>
                <c:pt idx="4">
                  <c:v>15.8329668286295</c:v>
                </c:pt>
                <c:pt idx="5">
                  <c:v>16.452020331522302</c:v>
                </c:pt>
                <c:pt idx="6">
                  <c:v>17.692691716393401</c:v>
                </c:pt>
                <c:pt idx="7">
                  <c:v>19.077057942859302</c:v>
                </c:pt>
                <c:pt idx="8">
                  <c:v>21.042940617788002</c:v>
                </c:pt>
                <c:pt idx="9">
                  <c:v>23.286902527754901</c:v>
                </c:pt>
                <c:pt idx="10">
                  <c:v>24.375946797864501</c:v>
                </c:pt>
                <c:pt idx="11">
                  <c:v>25.425710142326302</c:v>
                </c:pt>
                <c:pt idx="12">
                  <c:v>26.192326005161203</c:v>
                </c:pt>
                <c:pt idx="13">
                  <c:v>26.723111935777602</c:v>
                </c:pt>
                <c:pt idx="14">
                  <c:v>27.486474641481898</c:v>
                </c:pt>
                <c:pt idx="15">
                  <c:v>28.1653672757263</c:v>
                </c:pt>
                <c:pt idx="16">
                  <c:v>28.5162799637124</c:v>
                </c:pt>
                <c:pt idx="17">
                  <c:v>29.295037768341601</c:v>
                </c:pt>
                <c:pt idx="18">
                  <c:v>30.7628497381071</c:v>
                </c:pt>
                <c:pt idx="19">
                  <c:v>32.978204809107304</c:v>
                </c:pt>
                <c:pt idx="20">
                  <c:v>35.822406945896503</c:v>
                </c:pt>
                <c:pt idx="21">
                  <c:v>38.152911274796402</c:v>
                </c:pt>
                <c:pt idx="22">
                  <c:v>36.913781099592001</c:v>
                </c:pt>
                <c:pt idx="23">
                  <c:v>37.986289342970103</c:v>
                </c:pt>
                <c:pt idx="24">
                  <c:v>39.235695893131904</c:v>
                </c:pt>
                <c:pt idx="25">
                  <c:v>42.012999570286098</c:v>
                </c:pt>
                <c:pt idx="26">
                  <c:v>44.015890930599895</c:v>
                </c:pt>
                <c:pt idx="27">
                  <c:v>46.547846603265803</c:v>
                </c:pt>
                <c:pt idx="28">
                  <c:v>49.757030956848503</c:v>
                </c:pt>
                <c:pt idx="29">
                  <c:v>50.729969436105101</c:v>
                </c:pt>
                <c:pt idx="30">
                  <c:v>53.428412961464304</c:v>
                </c:pt>
                <c:pt idx="31">
                  <c:v>54.540996338485201</c:v>
                </c:pt>
                <c:pt idx="32">
                  <c:v>55.218246279387401</c:v>
                </c:pt>
              </c:numCache>
            </c:numRef>
          </c:val>
        </c:ser>
        <c:ser>
          <c:idx val="6"/>
          <c:order val="6"/>
          <c:tx>
            <c:strRef>
              <c:f>Arkusz9!$A$10</c:f>
              <c:strCache>
                <c:ptCount val="1"/>
                <c:pt idx="0">
                  <c:v>W. Brytania</c:v>
                </c:pt>
              </c:strCache>
            </c:strRef>
          </c:tx>
          <c:spPr>
            <a:solidFill>
              <a:schemeClr val="dk1">
                <a:tint val="80000"/>
              </a:schemeClr>
            </a:solidFill>
            <a:ln>
              <a:noFill/>
            </a:ln>
            <a:effectLst/>
          </c:spPr>
          <c:invertIfNegative val="0"/>
          <c:cat>
            <c:numRef>
              <c:f>Arkusz9!$B$3:$AH$3</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Arkusz9!$B$10:$AH$10</c:f>
              <c:numCache>
                <c:formatCode>General</c:formatCode>
                <c:ptCount val="33"/>
                <c:pt idx="0">
                  <c:v>11.958239702725299</c:v>
                </c:pt>
                <c:pt idx="1">
                  <c:v>11.958</c:v>
                </c:pt>
                <c:pt idx="2">
                  <c:v>12.895403477477201</c:v>
                </c:pt>
                <c:pt idx="3">
                  <c:v>12.895</c:v>
                </c:pt>
                <c:pt idx="4">
                  <c:v>14.886027233810101</c:v>
                </c:pt>
                <c:pt idx="5">
                  <c:v>15.9432805416179</c:v>
                </c:pt>
                <c:pt idx="6">
                  <c:v>16.657911914175799</c:v>
                </c:pt>
                <c:pt idx="7">
                  <c:v>17.646668868300399</c:v>
                </c:pt>
                <c:pt idx="8">
                  <c:v>18.823439654488499</c:v>
                </c:pt>
                <c:pt idx="9">
                  <c:v>19.660248057765099</c:v>
                </c:pt>
                <c:pt idx="10">
                  <c:v>19.346813279173599</c:v>
                </c:pt>
                <c:pt idx="11">
                  <c:v>19.4568645066485</c:v>
                </c:pt>
                <c:pt idx="12">
                  <c:v>20.614649343254801</c:v>
                </c:pt>
                <c:pt idx="13">
                  <c:v>21.495754159712799</c:v>
                </c:pt>
                <c:pt idx="14">
                  <c:v>21.914904952674998</c:v>
                </c:pt>
                <c:pt idx="15">
                  <c:v>22.356501688237898</c:v>
                </c:pt>
                <c:pt idx="16">
                  <c:v>23.1042371336953</c:v>
                </c:pt>
                <c:pt idx="17">
                  <c:v>23.966677625515697</c:v>
                </c:pt>
                <c:pt idx="18">
                  <c:v>25.938533992384698</c:v>
                </c:pt>
                <c:pt idx="19">
                  <c:v>27.872782291332499</c:v>
                </c:pt>
                <c:pt idx="20">
                  <c:v>29.193782438299898</c:v>
                </c:pt>
                <c:pt idx="21">
                  <c:v>30.6356910839148</c:v>
                </c:pt>
                <c:pt idx="22">
                  <c:v>31.0936449261139</c:v>
                </c:pt>
                <c:pt idx="23">
                  <c:v>32.024390850040902</c:v>
                </c:pt>
                <c:pt idx="24">
                  <c:v>34.080660736884496</c:v>
                </c:pt>
                <c:pt idx="25">
                  <c:v>37.045730503628</c:v>
                </c:pt>
                <c:pt idx="26">
                  <c:v>38.734966355122197</c:v>
                </c:pt>
                <c:pt idx="27">
                  <c:v>39.396925474854797</c:v>
                </c:pt>
                <c:pt idx="28">
                  <c:v>39.4328518052913</c:v>
                </c:pt>
                <c:pt idx="29">
                  <c:v>38.1392763996054</c:v>
                </c:pt>
                <c:pt idx="30">
                  <c:v>39.132644501867397</c:v>
                </c:pt>
                <c:pt idx="31">
                  <c:v>38.851818701669501</c:v>
                </c:pt>
                <c:pt idx="32">
                  <c:v>39.858827212359103</c:v>
                </c:pt>
              </c:numCache>
            </c:numRef>
          </c:val>
        </c:ser>
        <c:ser>
          <c:idx val="7"/>
          <c:order val="7"/>
          <c:tx>
            <c:strRef>
              <c:f>Arkusz9!$A$11</c:f>
              <c:strCache>
                <c:ptCount val="1"/>
                <c:pt idx="0">
                  <c:v>reszta świata</c:v>
                </c:pt>
              </c:strCache>
            </c:strRef>
          </c:tx>
          <c:spPr>
            <a:solidFill>
              <a:schemeClr val="dk1">
                <a:tint val="88500"/>
              </a:schemeClr>
            </a:solidFill>
            <a:ln>
              <a:noFill/>
            </a:ln>
            <a:effectLst/>
          </c:spPr>
          <c:invertIfNegative val="0"/>
          <c:cat>
            <c:numRef>
              <c:f>Arkusz9!$B$3:$AH$3</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Arkusz9!$B$11:$AH$11</c:f>
              <c:numCache>
                <c:formatCode>General</c:formatCode>
                <c:ptCount val="33"/>
                <c:pt idx="0">
                  <c:v>23.453008474778791</c:v>
                </c:pt>
                <c:pt idx="1">
                  <c:v>25.027238066810618</c:v>
                </c:pt>
                <c:pt idx="2">
                  <c:v>28.801102571930301</c:v>
                </c:pt>
                <c:pt idx="3">
                  <c:v>31.282068129171851</c:v>
                </c:pt>
                <c:pt idx="4">
                  <c:v>35.450365965827167</c:v>
                </c:pt>
                <c:pt idx="5">
                  <c:v>39.424791352291507</c:v>
                </c:pt>
                <c:pt idx="6">
                  <c:v>42.659000797907936</c:v>
                </c:pt>
                <c:pt idx="7">
                  <c:v>45.681700229661509</c:v>
                </c:pt>
                <c:pt idx="8">
                  <c:v>73.107478391957699</c:v>
                </c:pt>
                <c:pt idx="9">
                  <c:v>82.529285882007684</c:v>
                </c:pt>
                <c:pt idx="10">
                  <c:v>81.401469649650451</c:v>
                </c:pt>
                <c:pt idx="11">
                  <c:v>75.303389315473609</c:v>
                </c:pt>
                <c:pt idx="12">
                  <c:v>79.080778393264737</c:v>
                </c:pt>
                <c:pt idx="13">
                  <c:v>82.075489050730255</c:v>
                </c:pt>
                <c:pt idx="14">
                  <c:v>92.99317846386036</c:v>
                </c:pt>
                <c:pt idx="15">
                  <c:v>100.53666043898748</c:v>
                </c:pt>
                <c:pt idx="16">
                  <c:v>110.48082921940642</c:v>
                </c:pt>
                <c:pt idx="17">
                  <c:v>115.75394080141606</c:v>
                </c:pt>
                <c:pt idx="18">
                  <c:v>126.26254307021276</c:v>
                </c:pt>
                <c:pt idx="19">
                  <c:v>145.30565743203542</c:v>
                </c:pt>
                <c:pt idx="20">
                  <c:v>156.13426468623942</c:v>
                </c:pt>
                <c:pt idx="21">
                  <c:v>165.89926077524282</c:v>
                </c:pt>
                <c:pt idx="22">
                  <c:v>173.5412399085759</c:v>
                </c:pt>
                <c:pt idx="23">
                  <c:v>187.17409880223184</c:v>
                </c:pt>
                <c:pt idx="24">
                  <c:v>200.29240431771044</c:v>
                </c:pt>
                <c:pt idx="25">
                  <c:v>226.86208713501495</c:v>
                </c:pt>
                <c:pt idx="26">
                  <c:v>248.24094680050248</c:v>
                </c:pt>
                <c:pt idx="27">
                  <c:v>276.78393664641959</c:v>
                </c:pt>
                <c:pt idx="28">
                  <c:v>284.56693777068551</c:v>
                </c:pt>
                <c:pt idx="29">
                  <c:v>293.38618734895647</c:v>
                </c:pt>
                <c:pt idx="30">
                  <c:v>311.2356771548346</c:v>
                </c:pt>
                <c:pt idx="31">
                  <c:v>326.75648430428885</c:v>
                </c:pt>
                <c:pt idx="32">
                  <c:v>332.40825789370433</c:v>
                </c:pt>
              </c:numCache>
            </c:numRef>
          </c:val>
        </c:ser>
        <c:dLbls>
          <c:showLegendKey val="0"/>
          <c:showVal val="0"/>
          <c:showCatName val="0"/>
          <c:showSerName val="0"/>
          <c:showPercent val="0"/>
          <c:showBubbleSize val="0"/>
        </c:dLbls>
        <c:gapWidth val="150"/>
        <c:overlap val="100"/>
        <c:axId val="389705280"/>
        <c:axId val="389704496"/>
      </c:barChart>
      <c:catAx>
        <c:axId val="3897052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389704496"/>
        <c:crosses val="autoZero"/>
        <c:auto val="1"/>
        <c:lblAlgn val="ctr"/>
        <c:lblOffset val="100"/>
        <c:noMultiLvlLbl val="0"/>
      </c:catAx>
      <c:valAx>
        <c:axId val="389704496"/>
        <c:scaling>
          <c:orientation val="minMax"/>
          <c:max val="160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3897052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Arkusz1!$A$9</c:f>
              <c:strCache>
                <c:ptCount val="1"/>
                <c:pt idx="0">
                  <c:v>USA</c:v>
                </c:pt>
              </c:strCache>
            </c:strRef>
          </c:tx>
          <c:spPr>
            <a:ln w="28575" cap="rnd">
              <a:solidFill>
                <a:schemeClr val="dk1">
                  <a:tint val="88500"/>
                </a:schemeClr>
              </a:solidFill>
              <a:round/>
            </a:ln>
            <a:effectLst/>
          </c:spPr>
          <c:marker>
            <c:symbol val="none"/>
          </c:marker>
          <c:cat>
            <c:numRef>
              <c:f>Arkusz1!$B$8:$P$8</c:f>
              <c:numCache>
                <c:formatCode>General</c:formatCode>
                <c:ptCount val="15"/>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Arkusz1!$B$9:$P$9</c:f>
              <c:numCache>
                <c:formatCode>General</c:formatCode>
                <c:ptCount val="15"/>
                <c:pt idx="1">
                  <c:v>269.51299999999998</c:v>
                </c:pt>
                <c:pt idx="2">
                  <c:v>280.238</c:v>
                </c:pt>
                <c:pt idx="3">
                  <c:v>279.89100000000002</c:v>
                </c:pt>
                <c:pt idx="4">
                  <c:v>293.85199999999998</c:v>
                </c:pt>
                <c:pt idx="5">
                  <c:v>305.64</c:v>
                </c:pt>
                <c:pt idx="6">
                  <c:v>328.12799999999999</c:v>
                </c:pt>
                <c:pt idx="7">
                  <c:v>353.32799999999997</c:v>
                </c:pt>
                <c:pt idx="8">
                  <c:v>380.31599999999997</c:v>
                </c:pt>
                <c:pt idx="9">
                  <c:v>407.238</c:v>
                </c:pt>
                <c:pt idx="10">
                  <c:v>406.40499999999997</c:v>
                </c:pt>
                <c:pt idx="11">
                  <c:v>410.09300000000002</c:v>
                </c:pt>
                <c:pt idx="12">
                  <c:v>428.745</c:v>
                </c:pt>
                <c:pt idx="13">
                  <c:v>436.07799999999997</c:v>
                </c:pt>
                <c:pt idx="14">
                  <c:v>456.97699999999998</c:v>
                </c:pt>
              </c:numCache>
            </c:numRef>
          </c:val>
          <c:smooth val="0"/>
        </c:ser>
        <c:ser>
          <c:idx val="1"/>
          <c:order val="1"/>
          <c:tx>
            <c:strRef>
              <c:f>Arkusz1!$A$10</c:f>
              <c:strCache>
                <c:ptCount val="1"/>
                <c:pt idx="0">
                  <c:v>Chiny</c:v>
                </c:pt>
              </c:strCache>
            </c:strRef>
          </c:tx>
          <c:spPr>
            <a:ln w="28575" cap="rnd">
              <a:solidFill>
                <a:schemeClr val="dk1">
                  <a:tint val="55000"/>
                </a:schemeClr>
              </a:solidFill>
              <a:round/>
            </a:ln>
            <a:effectLst/>
          </c:spPr>
          <c:marker>
            <c:symbol val="none"/>
          </c:marker>
          <c:cat>
            <c:numRef>
              <c:f>Arkusz1!$B$8:$P$8</c:f>
              <c:numCache>
                <c:formatCode>General</c:formatCode>
                <c:ptCount val="15"/>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Arkusz1!$B$10:$P$10</c:f>
              <c:numCache>
                <c:formatCode>General</c:formatCode>
                <c:ptCount val="15"/>
                <c:pt idx="1">
                  <c:v>33.0445470300522</c:v>
                </c:pt>
                <c:pt idx="2">
                  <c:v>38.547690740180698</c:v>
                </c:pt>
                <c:pt idx="3">
                  <c:v>48.059900982696597</c:v>
                </c:pt>
                <c:pt idx="4">
                  <c:v>57.137216779033203</c:v>
                </c:pt>
                <c:pt idx="5">
                  <c:v>70.1316971073487</c:v>
                </c:pt>
                <c:pt idx="6">
                  <c:v>86.827628523028991</c:v>
                </c:pt>
                <c:pt idx="7">
                  <c:v>105.58057607371499</c:v>
                </c:pt>
                <c:pt idx="8">
                  <c:v>124.187083622304</c:v>
                </c:pt>
                <c:pt idx="9">
                  <c:v>146.12657059719399</c:v>
                </c:pt>
                <c:pt idx="10">
                  <c:v>185.26669847754201</c:v>
                </c:pt>
                <c:pt idx="11">
                  <c:v>213.460101002307</c:v>
                </c:pt>
                <c:pt idx="12">
                  <c:v>247.80830328524399</c:v>
                </c:pt>
                <c:pt idx="13">
                  <c:v>292.06293223879101</c:v>
                </c:pt>
                <c:pt idx="14">
                  <c:v>333.52161366391698</c:v>
                </c:pt>
              </c:numCache>
            </c:numRef>
          </c:val>
          <c:smooth val="0"/>
        </c:ser>
        <c:dLbls>
          <c:showLegendKey val="0"/>
          <c:showVal val="0"/>
          <c:showCatName val="0"/>
          <c:showSerName val="0"/>
          <c:showPercent val="0"/>
          <c:showBubbleSize val="0"/>
        </c:dLbls>
        <c:smooth val="0"/>
        <c:axId val="389708024"/>
        <c:axId val="389706064"/>
      </c:lineChart>
      <c:catAx>
        <c:axId val="38970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9706064"/>
        <c:crosses val="autoZero"/>
        <c:auto val="1"/>
        <c:lblAlgn val="ctr"/>
        <c:lblOffset val="100"/>
        <c:noMultiLvlLbl val="0"/>
      </c:catAx>
      <c:valAx>
        <c:axId val="389706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9708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Arkusz3!$A$4:$B$4</c:f>
              <c:strCache>
                <c:ptCount val="2"/>
                <c:pt idx="0">
                  <c:v>USA</c:v>
                </c:pt>
              </c:strCache>
            </c:strRef>
          </c:tx>
          <c:spPr>
            <a:ln w="28575" cap="rnd">
              <a:solidFill>
                <a:schemeClr val="dk1">
                  <a:tint val="88500"/>
                </a:schemeClr>
              </a:solidFill>
              <a:round/>
            </a:ln>
            <a:effectLst/>
          </c:spPr>
          <c:marker>
            <c:symbol val="none"/>
          </c:marker>
          <c:cat>
            <c:strRef>
              <c:f>Arkusz3!$C$3:$P$3</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Arkusz3!$C$4:$P$4</c:f>
              <c:numCache>
                <c:formatCode>General</c:formatCode>
                <c:ptCount val="14"/>
                <c:pt idx="0">
                  <c:v>7.3177619968697796</c:v>
                </c:pt>
                <c:pt idx="1">
                  <c:v>1.6626121696332401</c:v>
                </c:pt>
                <c:pt idx="2">
                  <c:v>-1.6338683618101999</c:v>
                </c:pt>
                <c:pt idx="3">
                  <c:v>-0.2</c:v>
                </c:pt>
                <c:pt idx="4">
                  <c:v>1.2280524523567999</c:v>
                </c:pt>
                <c:pt idx="5">
                  <c:v>4.0109764470716902</c:v>
                </c:pt>
                <c:pt idx="6">
                  <c:v>4.4703236724559199</c:v>
                </c:pt>
                <c:pt idx="7">
                  <c:v>4.8478774130615596</c:v>
                </c:pt>
                <c:pt idx="8">
                  <c:v>5.0187837079175299</c:v>
                </c:pt>
                <c:pt idx="9">
                  <c:v>-0.95671237022419997</c:v>
                </c:pt>
                <c:pt idx="10">
                  <c:v>-0.310096386163</c:v>
                </c:pt>
                <c:pt idx="11">
                  <c:v>2.4333684632324601</c:v>
                </c:pt>
                <c:pt idx="12">
                  <c:v>-0.12932924002919999</c:v>
                </c:pt>
                <c:pt idx="13">
                  <c:v>3.11167526718015</c:v>
                </c:pt>
              </c:numCache>
            </c:numRef>
          </c:val>
          <c:smooth val="0"/>
        </c:ser>
        <c:ser>
          <c:idx val="1"/>
          <c:order val="1"/>
          <c:tx>
            <c:strRef>
              <c:f>Arkusz3!$A$5:$B$5</c:f>
              <c:strCache>
                <c:ptCount val="2"/>
                <c:pt idx="0">
                  <c:v>Chiny</c:v>
                </c:pt>
              </c:strCache>
            </c:strRef>
          </c:tx>
          <c:spPr>
            <a:ln w="28575" cap="rnd">
              <a:solidFill>
                <a:schemeClr val="dk1">
                  <a:tint val="55000"/>
                </a:schemeClr>
              </a:solidFill>
              <a:round/>
            </a:ln>
            <a:effectLst/>
          </c:spPr>
          <c:marker>
            <c:symbol val="none"/>
          </c:marker>
          <c:cat>
            <c:strRef>
              <c:f>Arkusz3!$C$3:$P$3</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Arkusz3!$C$5:$P$5</c:f>
              <c:numCache>
                <c:formatCode>General</c:formatCode>
                <c:ptCount val="14"/>
                <c:pt idx="0">
                  <c:v>13</c:v>
                </c:pt>
                <c:pt idx="1">
                  <c:v>13.4144247090356</c:v>
                </c:pt>
                <c:pt idx="2">
                  <c:v>22.7815184558285</c:v>
                </c:pt>
                <c:pt idx="3">
                  <c:v>16.568895364826901</c:v>
                </c:pt>
                <c:pt idx="4">
                  <c:v>19.4680266504526</c:v>
                </c:pt>
                <c:pt idx="5">
                  <c:v>19.9014525768754</c:v>
                </c:pt>
                <c:pt idx="6">
                  <c:v>17.971036077746401</c:v>
                </c:pt>
                <c:pt idx="7">
                  <c:v>14.5783575893935</c:v>
                </c:pt>
                <c:pt idx="8">
                  <c:v>15.400195216491801</c:v>
                </c:pt>
                <c:pt idx="9">
                  <c:v>14.6</c:v>
                </c:pt>
                <c:pt idx="10">
                  <c:v>13.824996420307</c:v>
                </c:pt>
                <c:pt idx="11">
                  <c:v>13.745586762348401</c:v>
                </c:pt>
                <c:pt idx="12">
                  <c:v>15.7769521380333</c:v>
                </c:pt>
                <c:pt idx="13">
                  <c:v>12.5201270811105</c:v>
                </c:pt>
              </c:numCache>
            </c:numRef>
          </c:val>
          <c:smooth val="0"/>
        </c:ser>
        <c:dLbls>
          <c:showLegendKey val="0"/>
          <c:showVal val="0"/>
          <c:showCatName val="0"/>
          <c:showSerName val="0"/>
          <c:showPercent val="0"/>
          <c:showBubbleSize val="0"/>
        </c:dLbls>
        <c:smooth val="0"/>
        <c:axId val="389704104"/>
        <c:axId val="389700576"/>
      </c:lineChart>
      <c:catAx>
        <c:axId val="389704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9700576"/>
        <c:crosses val="autoZero"/>
        <c:auto val="1"/>
        <c:lblAlgn val="ctr"/>
        <c:lblOffset val="100"/>
        <c:noMultiLvlLbl val="0"/>
      </c:catAx>
      <c:valAx>
        <c:axId val="38970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9704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1"/>
          <c:tx>
            <c:strRef>
              <c:f>Arkusz2!$A$5</c:f>
              <c:strCache>
                <c:ptCount val="1"/>
                <c:pt idx="0">
                  <c:v>USA</c:v>
                </c:pt>
              </c:strCache>
            </c:strRef>
          </c:tx>
          <c:spPr>
            <a:solidFill>
              <a:schemeClr val="dk1">
                <a:tint val="55000"/>
              </a:schemeClr>
            </a:solidFill>
            <a:ln>
              <a:noFill/>
            </a:ln>
            <a:effectLst/>
          </c:spPr>
          <c:invertIfNegative val="0"/>
          <c:cat>
            <c:strRef>
              <c:f>Arkusz2!$B$3:$P$3</c:f>
              <c:strCache>
                <c:ptCount val="15"/>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strCache>
            </c:strRef>
          </c:cat>
          <c:val>
            <c:numRef>
              <c:f>Arkusz2!$B$5:$P$5</c:f>
              <c:numCache>
                <c:formatCode>General</c:formatCode>
                <c:ptCount val="15"/>
                <c:pt idx="0">
                  <c:v>0</c:v>
                </c:pt>
                <c:pt idx="1">
                  <c:v>2.6205035616224701</c:v>
                </c:pt>
                <c:pt idx="2">
                  <c:v>2.6383227588783198</c:v>
                </c:pt>
                <c:pt idx="3">
                  <c:v>2.5496756369429399</c:v>
                </c:pt>
                <c:pt idx="4">
                  <c:v>2.5528661667826502</c:v>
                </c:pt>
                <c:pt idx="5">
                  <c:v>2.4899535052262598</c:v>
                </c:pt>
                <c:pt idx="6">
                  <c:v>2.50599409213237</c:v>
                </c:pt>
                <c:pt idx="7">
                  <c:v>2.55002061217585</c:v>
                </c:pt>
                <c:pt idx="8">
                  <c:v>2.6269207643375498</c:v>
                </c:pt>
                <c:pt idx="9">
                  <c:v>2.7668290328511298</c:v>
                </c:pt>
                <c:pt idx="10">
                  <c:v>2.8185890596951602</c:v>
                </c:pt>
                <c:pt idx="11">
                  <c:v>2.74046247981539</c:v>
                </c:pt>
                <c:pt idx="12">
                  <c:v>2.7629014341220599</c:v>
                </c:pt>
                <c:pt idx="13">
                  <c:v>2.6992950925168899</c:v>
                </c:pt>
                <c:pt idx="14">
                  <c:v>2.7424390749999201</c:v>
                </c:pt>
              </c:numCache>
            </c:numRef>
          </c:val>
        </c:ser>
        <c:ser>
          <c:idx val="2"/>
          <c:order val="2"/>
          <c:tx>
            <c:strRef>
              <c:f>Arkusz2!$A$6</c:f>
              <c:strCache>
                <c:ptCount val="1"/>
                <c:pt idx="0">
                  <c:v>Chiny</c:v>
                </c:pt>
              </c:strCache>
            </c:strRef>
          </c:tx>
          <c:spPr>
            <a:solidFill>
              <a:schemeClr val="dk1">
                <a:tint val="75000"/>
              </a:schemeClr>
            </a:solidFill>
            <a:ln>
              <a:noFill/>
            </a:ln>
            <a:effectLst/>
          </c:spPr>
          <c:invertIfNegative val="0"/>
          <c:cat>
            <c:strRef>
              <c:f>Arkusz2!$B$3:$P$3</c:f>
              <c:strCache>
                <c:ptCount val="15"/>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strCache>
            </c:strRef>
          </c:cat>
          <c:val>
            <c:numRef>
              <c:f>Arkusz2!$B$6:$P$6</c:f>
              <c:numCache>
                <c:formatCode>General</c:formatCode>
                <c:ptCount val="15"/>
                <c:pt idx="0">
                  <c:v>0</c:v>
                </c:pt>
                <c:pt idx="1">
                  <c:v>0.89767309471287005</c:v>
                </c:pt>
                <c:pt idx="2">
                  <c:v>0.94538516229197</c:v>
                </c:pt>
                <c:pt idx="3">
                  <c:v>1.06411464273318</c:v>
                </c:pt>
                <c:pt idx="4">
                  <c:v>1.1274005122850299</c:v>
                </c:pt>
                <c:pt idx="5">
                  <c:v>1.22349335218251</c:v>
                </c:pt>
                <c:pt idx="6">
                  <c:v>1.3179281619057599</c:v>
                </c:pt>
                <c:pt idx="7">
                  <c:v>1.37974065569342</c:v>
                </c:pt>
                <c:pt idx="8">
                  <c:v>1.38431844858992</c:v>
                </c:pt>
                <c:pt idx="9">
                  <c:v>1.4572997713982301</c:v>
                </c:pt>
                <c:pt idx="10">
                  <c:v>1.6787085118965599</c:v>
                </c:pt>
                <c:pt idx="11">
                  <c:v>1.72720127615552</c:v>
                </c:pt>
                <c:pt idx="12">
                  <c:v>1.79437875719313</c:v>
                </c:pt>
                <c:pt idx="13">
                  <c:v>1.9280967586062301</c:v>
                </c:pt>
                <c:pt idx="14">
                  <c:v>2.01466327921259</c:v>
                </c:pt>
              </c:numCache>
            </c:numRef>
          </c:val>
        </c:ser>
        <c:dLbls>
          <c:showLegendKey val="0"/>
          <c:showVal val="0"/>
          <c:showCatName val="0"/>
          <c:showSerName val="0"/>
          <c:showPercent val="0"/>
          <c:showBubbleSize val="0"/>
        </c:dLbls>
        <c:gapWidth val="219"/>
        <c:overlap val="-27"/>
        <c:axId val="389706456"/>
        <c:axId val="426583040"/>
        <c:extLst>
          <c:ext xmlns:c15="http://schemas.microsoft.com/office/drawing/2012/chart" uri="{02D57815-91ED-43cb-92C2-25804820EDAC}">
            <c15:filteredBarSeries>
              <c15:ser>
                <c:idx val="0"/>
                <c:order val="0"/>
                <c:tx>
                  <c:strRef>
                    <c:extLst>
                      <c:ext uri="{02D57815-91ED-43cb-92C2-25804820EDAC}">
                        <c15:formulaRef>
                          <c15:sqref>Arkusz2!$A$4</c15:sqref>
                        </c15:formulaRef>
                      </c:ext>
                    </c:extLst>
                    <c:strCache>
                      <c:ptCount val="1"/>
                    </c:strCache>
                  </c:strRef>
                </c:tx>
                <c:spPr>
                  <a:solidFill>
                    <a:schemeClr val="dk1">
                      <a:tint val="88500"/>
                    </a:schemeClr>
                  </a:solidFill>
                  <a:ln>
                    <a:noFill/>
                  </a:ln>
                  <a:effectLst/>
                </c:spPr>
                <c:invertIfNegative val="0"/>
                <c:cat>
                  <c:strRef>
                    <c:extLst>
                      <c:ext uri="{02D57815-91ED-43cb-92C2-25804820EDAC}">
                        <c15:formulaRef>
                          <c15:sqref>Arkusz2!$B$3:$P$3</c15:sqref>
                        </c15:formulaRef>
                      </c:ext>
                    </c:extLst>
                    <c:strCache>
                      <c:ptCount val="15"/>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strCache>
                  </c:strRef>
                </c:cat>
                <c:val>
                  <c:numRef>
                    <c:extLst>
                      <c:ext uri="{02D57815-91ED-43cb-92C2-25804820EDAC}">
                        <c15:formulaRef>
                          <c15:sqref>Arkusz2!$B$4:$P$4</c15:sqref>
                        </c15:formulaRef>
                      </c:ext>
                    </c:extLst>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15:ser>
            </c15:filteredBarSeries>
          </c:ext>
        </c:extLst>
      </c:barChart>
      <c:catAx>
        <c:axId val="38970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6583040"/>
        <c:crosses val="autoZero"/>
        <c:auto val="1"/>
        <c:lblAlgn val="ctr"/>
        <c:lblOffset val="100"/>
        <c:noMultiLvlLbl val="0"/>
      </c:catAx>
      <c:valAx>
        <c:axId val="42658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9706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Arkusz4!$J$23</c:f>
              <c:strCache>
                <c:ptCount val="1"/>
                <c:pt idx="0">
                  <c:v>podstawowe</c:v>
                </c:pt>
              </c:strCache>
            </c:strRef>
          </c:tx>
          <c:spPr>
            <a:solidFill>
              <a:schemeClr val="dk1">
                <a:tint val="88500"/>
              </a:schemeClr>
            </a:solidFill>
            <a:ln>
              <a:noFill/>
            </a:ln>
            <a:effectLst/>
          </c:spPr>
          <c:invertIfNegative val="0"/>
          <c:cat>
            <c:multiLvlStrRef>
              <c:f>Arkusz4!$H$24:$I$29</c:f>
              <c:multiLvlStrCache>
                <c:ptCount val="6"/>
                <c:lvl>
                  <c:pt idx="0">
                    <c:v>USA</c:v>
                  </c:pt>
                  <c:pt idx="1">
                    <c:v>Chiny</c:v>
                  </c:pt>
                  <c:pt idx="2">
                    <c:v>USA</c:v>
                  </c:pt>
                  <c:pt idx="3">
                    <c:v>Chiny</c:v>
                  </c:pt>
                  <c:pt idx="4">
                    <c:v>USA</c:v>
                  </c:pt>
                  <c:pt idx="5">
                    <c:v>Chiny</c:v>
                  </c:pt>
                </c:lvl>
                <c:lvl>
                  <c:pt idx="0">
                    <c:v>2000</c:v>
                  </c:pt>
                  <c:pt idx="2">
                    <c:v>2006</c:v>
                  </c:pt>
                  <c:pt idx="4">
                    <c:v>2013</c:v>
                  </c:pt>
                </c:lvl>
              </c:multiLvlStrCache>
            </c:multiLvlStrRef>
          </c:cat>
          <c:val>
            <c:numRef>
              <c:f>Arkusz4!$J$24:$J$29</c:f>
              <c:numCache>
                <c:formatCode>General</c:formatCode>
                <c:ptCount val="6"/>
                <c:pt idx="0">
                  <c:v>15.8985515330693</c:v>
                </c:pt>
                <c:pt idx="1">
                  <c:v>5.2175749299876921</c:v>
                </c:pt>
                <c:pt idx="2">
                  <c:v>17.867809522729015</c:v>
                </c:pt>
                <c:pt idx="3">
                  <c:v>5.1865062826141912</c:v>
                </c:pt>
                <c:pt idx="4">
                  <c:v>17.641022942538413</c:v>
                </c:pt>
                <c:pt idx="5">
                  <c:v>4.68447781018474</c:v>
                </c:pt>
              </c:numCache>
            </c:numRef>
          </c:val>
        </c:ser>
        <c:ser>
          <c:idx val="1"/>
          <c:order val="1"/>
          <c:tx>
            <c:strRef>
              <c:f>Arkusz4!$K$23</c:f>
              <c:strCache>
                <c:ptCount val="1"/>
                <c:pt idx="0">
                  <c:v>stosowane</c:v>
                </c:pt>
              </c:strCache>
            </c:strRef>
          </c:tx>
          <c:spPr>
            <a:solidFill>
              <a:schemeClr val="dk1">
                <a:tint val="55000"/>
              </a:schemeClr>
            </a:solidFill>
            <a:ln>
              <a:noFill/>
            </a:ln>
            <a:effectLst/>
          </c:spPr>
          <c:invertIfNegative val="0"/>
          <c:cat>
            <c:multiLvlStrRef>
              <c:f>Arkusz4!$H$24:$I$29</c:f>
              <c:multiLvlStrCache>
                <c:ptCount val="6"/>
                <c:lvl>
                  <c:pt idx="0">
                    <c:v>USA</c:v>
                  </c:pt>
                  <c:pt idx="1">
                    <c:v>Chiny</c:v>
                  </c:pt>
                  <c:pt idx="2">
                    <c:v>USA</c:v>
                  </c:pt>
                  <c:pt idx="3">
                    <c:v>Chiny</c:v>
                  </c:pt>
                  <c:pt idx="4">
                    <c:v>USA</c:v>
                  </c:pt>
                  <c:pt idx="5">
                    <c:v>Chiny</c:v>
                  </c:pt>
                </c:lvl>
                <c:lvl>
                  <c:pt idx="0">
                    <c:v>2000</c:v>
                  </c:pt>
                  <c:pt idx="2">
                    <c:v>2006</c:v>
                  </c:pt>
                  <c:pt idx="4">
                    <c:v>2013</c:v>
                  </c:pt>
                </c:lvl>
              </c:multiLvlStrCache>
            </c:multiLvlStrRef>
          </c:cat>
          <c:val>
            <c:numRef>
              <c:f>Arkusz4!$K$24:$K$29</c:f>
              <c:numCache>
                <c:formatCode>General</c:formatCode>
                <c:ptCount val="6"/>
                <c:pt idx="0">
                  <c:v>21.078447778955393</c:v>
                </c:pt>
                <c:pt idx="1">
                  <c:v>16.960135661717498</c:v>
                </c:pt>
                <c:pt idx="2">
                  <c:v>21.764657497723835</c:v>
                </c:pt>
                <c:pt idx="3">
                  <c:v>16.800139139234822</c:v>
                </c:pt>
                <c:pt idx="4">
                  <c:v>19.870597418087421</c:v>
                </c:pt>
                <c:pt idx="5">
                  <c:v>10.712908099563228</c:v>
                </c:pt>
              </c:numCache>
            </c:numRef>
          </c:val>
        </c:ser>
        <c:ser>
          <c:idx val="2"/>
          <c:order val="2"/>
          <c:tx>
            <c:strRef>
              <c:f>Arkusz4!$L$23</c:f>
              <c:strCache>
                <c:ptCount val="1"/>
                <c:pt idx="0">
                  <c:v>rozwojowe</c:v>
                </c:pt>
              </c:strCache>
            </c:strRef>
          </c:tx>
          <c:spPr>
            <a:solidFill>
              <a:schemeClr val="dk1">
                <a:tint val="75000"/>
              </a:schemeClr>
            </a:solidFill>
            <a:ln>
              <a:noFill/>
            </a:ln>
            <a:effectLst/>
          </c:spPr>
          <c:invertIfNegative val="0"/>
          <c:cat>
            <c:multiLvlStrRef>
              <c:f>Arkusz4!$H$24:$I$29</c:f>
              <c:multiLvlStrCache>
                <c:ptCount val="6"/>
                <c:lvl>
                  <c:pt idx="0">
                    <c:v>USA</c:v>
                  </c:pt>
                  <c:pt idx="1">
                    <c:v>Chiny</c:v>
                  </c:pt>
                  <c:pt idx="2">
                    <c:v>USA</c:v>
                  </c:pt>
                  <c:pt idx="3">
                    <c:v>Chiny</c:v>
                  </c:pt>
                  <c:pt idx="4">
                    <c:v>USA</c:v>
                  </c:pt>
                  <c:pt idx="5">
                    <c:v>Chiny</c:v>
                  </c:pt>
                </c:lvl>
                <c:lvl>
                  <c:pt idx="0">
                    <c:v>2000</c:v>
                  </c:pt>
                  <c:pt idx="2">
                    <c:v>2006</c:v>
                  </c:pt>
                  <c:pt idx="4">
                    <c:v>2013</c:v>
                  </c:pt>
                </c:lvl>
              </c:multiLvlStrCache>
            </c:multiLvlStrRef>
          </c:cat>
          <c:val>
            <c:numRef>
              <c:f>Arkusz4!$L$24:$L$29</c:f>
              <c:numCache>
                <c:formatCode>General</c:formatCode>
                <c:ptCount val="6"/>
                <c:pt idx="0">
                  <c:v>63.023000687975305</c:v>
                </c:pt>
                <c:pt idx="1">
                  <c:v>77.822289408294822</c:v>
                </c:pt>
                <c:pt idx="2">
                  <c:v>60.367532979547143</c:v>
                </c:pt>
                <c:pt idx="3">
                  <c:v>78.013354578150981</c:v>
                </c:pt>
                <c:pt idx="4">
                  <c:v>62.488379639374173</c:v>
                </c:pt>
                <c:pt idx="5">
                  <c:v>84.602614090252032</c:v>
                </c:pt>
              </c:numCache>
            </c:numRef>
          </c:val>
        </c:ser>
        <c:dLbls>
          <c:showLegendKey val="0"/>
          <c:showVal val="0"/>
          <c:showCatName val="0"/>
          <c:showSerName val="0"/>
          <c:showPercent val="0"/>
          <c:showBubbleSize val="0"/>
        </c:dLbls>
        <c:gapWidth val="150"/>
        <c:overlap val="100"/>
        <c:axId val="426581472"/>
        <c:axId val="426581864"/>
      </c:barChart>
      <c:catAx>
        <c:axId val="42658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6581864"/>
        <c:crosses val="autoZero"/>
        <c:auto val="1"/>
        <c:lblAlgn val="ctr"/>
        <c:lblOffset val="100"/>
        <c:noMultiLvlLbl val="0"/>
      </c:catAx>
      <c:valAx>
        <c:axId val="4265818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658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Arkusz8!$E$5</c:f>
              <c:strCache>
                <c:ptCount val="1"/>
                <c:pt idx="0">
                  <c:v>2000</c:v>
                </c:pt>
              </c:strCache>
            </c:strRef>
          </c:tx>
          <c:spPr>
            <a:solidFill>
              <a:schemeClr val="dk1">
                <a:tint val="88500"/>
              </a:schemeClr>
            </a:solidFill>
            <a:ln>
              <a:noFill/>
            </a:ln>
            <a:effectLst/>
          </c:spPr>
          <c:invertIfNegative val="0"/>
          <c:cat>
            <c:multiLvlStrRef>
              <c:f>Arkusz8!$C$6:$D$14</c:f>
              <c:multiLvlStrCache>
                <c:ptCount val="9"/>
                <c:lvl>
                  <c:pt idx="0">
                    <c:v>biznes</c:v>
                  </c:pt>
                  <c:pt idx="1">
                    <c:v>rząd</c:v>
                  </c:pt>
                  <c:pt idx="2">
                    <c:v>inne krajowe</c:v>
                  </c:pt>
                  <c:pt idx="3">
                    <c:v>zagranica</c:v>
                  </c:pt>
                  <c:pt idx="5">
                    <c:v>biznes</c:v>
                  </c:pt>
                  <c:pt idx="6">
                    <c:v>rząd</c:v>
                  </c:pt>
                  <c:pt idx="7">
                    <c:v>inne krajowe</c:v>
                  </c:pt>
                  <c:pt idx="8">
                    <c:v>zagranica</c:v>
                  </c:pt>
                </c:lvl>
                <c:lvl>
                  <c:pt idx="0">
                    <c:v>USA</c:v>
                  </c:pt>
                  <c:pt idx="5">
                    <c:v>Chiny</c:v>
                  </c:pt>
                </c:lvl>
              </c:multiLvlStrCache>
            </c:multiLvlStrRef>
          </c:cat>
          <c:val>
            <c:numRef>
              <c:f>Arkusz8!$E$6:$E$14</c:f>
              <c:numCache>
                <c:formatCode>General</c:formatCode>
                <c:ptCount val="9"/>
                <c:pt idx="0">
                  <c:v>69.027097023149196</c:v>
                </c:pt>
                <c:pt idx="1">
                  <c:v>26.238437477969502</c:v>
                </c:pt>
                <c:pt idx="2">
                  <c:v>4.7340944592654202</c:v>
                </c:pt>
                <c:pt idx="5">
                  <c:v>57.5896121875925</c:v>
                </c:pt>
                <c:pt idx="6">
                  <c:v>33.407579842910003</c:v>
                </c:pt>
                <c:pt idx="7">
                  <c:v>6.32</c:v>
                </c:pt>
                <c:pt idx="8">
                  <c:v>2.6862722111503698</c:v>
                </c:pt>
              </c:numCache>
            </c:numRef>
          </c:val>
        </c:ser>
        <c:ser>
          <c:idx val="1"/>
          <c:order val="1"/>
          <c:tx>
            <c:strRef>
              <c:f>Arkusz8!$F$5</c:f>
              <c:strCache>
                <c:ptCount val="1"/>
                <c:pt idx="0">
                  <c:v>2006</c:v>
                </c:pt>
              </c:strCache>
            </c:strRef>
          </c:tx>
          <c:spPr>
            <a:solidFill>
              <a:schemeClr val="dk1">
                <a:tint val="55000"/>
              </a:schemeClr>
            </a:solidFill>
            <a:ln>
              <a:noFill/>
            </a:ln>
            <a:effectLst/>
          </c:spPr>
          <c:invertIfNegative val="0"/>
          <c:cat>
            <c:multiLvlStrRef>
              <c:f>Arkusz8!$C$6:$D$14</c:f>
              <c:multiLvlStrCache>
                <c:ptCount val="9"/>
                <c:lvl>
                  <c:pt idx="0">
                    <c:v>biznes</c:v>
                  </c:pt>
                  <c:pt idx="1">
                    <c:v>rząd</c:v>
                  </c:pt>
                  <c:pt idx="2">
                    <c:v>inne krajowe</c:v>
                  </c:pt>
                  <c:pt idx="3">
                    <c:v>zagranica</c:v>
                  </c:pt>
                  <c:pt idx="5">
                    <c:v>biznes</c:v>
                  </c:pt>
                  <c:pt idx="6">
                    <c:v>rząd</c:v>
                  </c:pt>
                  <c:pt idx="7">
                    <c:v>inne krajowe</c:v>
                  </c:pt>
                  <c:pt idx="8">
                    <c:v>zagranica</c:v>
                  </c:pt>
                </c:lvl>
                <c:lvl>
                  <c:pt idx="0">
                    <c:v>USA</c:v>
                  </c:pt>
                  <c:pt idx="5">
                    <c:v>Chiny</c:v>
                  </c:pt>
                </c:lvl>
              </c:multiLvlStrCache>
            </c:multiLvlStrRef>
          </c:cat>
          <c:val>
            <c:numRef>
              <c:f>Arkusz8!$F$6:$F$14</c:f>
              <c:numCache>
                <c:formatCode>General</c:formatCode>
                <c:ptCount val="9"/>
                <c:pt idx="0">
                  <c:v>64.277385319023693</c:v>
                </c:pt>
                <c:pt idx="1">
                  <c:v>29.859224290177998</c:v>
                </c:pt>
                <c:pt idx="2">
                  <c:v>5.86339039079835</c:v>
                </c:pt>
                <c:pt idx="5">
                  <c:v>69.051002222172997</c:v>
                </c:pt>
                <c:pt idx="6">
                  <c:v>24.712152116585301</c:v>
                </c:pt>
                <c:pt idx="7">
                  <c:v>4.63</c:v>
                </c:pt>
                <c:pt idx="8">
                  <c:v>1.6132980870478799</c:v>
                </c:pt>
              </c:numCache>
            </c:numRef>
          </c:val>
        </c:ser>
        <c:ser>
          <c:idx val="2"/>
          <c:order val="2"/>
          <c:tx>
            <c:strRef>
              <c:f>Arkusz8!$G$5</c:f>
              <c:strCache>
                <c:ptCount val="1"/>
                <c:pt idx="0">
                  <c:v>2013</c:v>
                </c:pt>
              </c:strCache>
            </c:strRef>
          </c:tx>
          <c:spPr>
            <a:solidFill>
              <a:schemeClr val="dk1">
                <a:tint val="75000"/>
              </a:schemeClr>
            </a:solidFill>
            <a:ln>
              <a:noFill/>
            </a:ln>
            <a:effectLst/>
          </c:spPr>
          <c:invertIfNegative val="0"/>
          <c:cat>
            <c:multiLvlStrRef>
              <c:f>Arkusz8!$C$6:$D$14</c:f>
              <c:multiLvlStrCache>
                <c:ptCount val="9"/>
                <c:lvl>
                  <c:pt idx="0">
                    <c:v>biznes</c:v>
                  </c:pt>
                  <c:pt idx="1">
                    <c:v>rząd</c:v>
                  </c:pt>
                  <c:pt idx="2">
                    <c:v>inne krajowe</c:v>
                  </c:pt>
                  <c:pt idx="3">
                    <c:v>zagranica</c:v>
                  </c:pt>
                  <c:pt idx="5">
                    <c:v>biznes</c:v>
                  </c:pt>
                  <c:pt idx="6">
                    <c:v>rząd</c:v>
                  </c:pt>
                  <c:pt idx="7">
                    <c:v>inne krajowe</c:v>
                  </c:pt>
                  <c:pt idx="8">
                    <c:v>zagranica</c:v>
                  </c:pt>
                </c:lvl>
                <c:lvl>
                  <c:pt idx="0">
                    <c:v>USA</c:v>
                  </c:pt>
                  <c:pt idx="5">
                    <c:v>Chiny</c:v>
                  </c:pt>
                </c:lvl>
              </c:multiLvlStrCache>
            </c:multiLvlStrRef>
          </c:cat>
          <c:val>
            <c:numRef>
              <c:f>Arkusz8!$G$6:$G$14</c:f>
              <c:numCache>
                <c:formatCode>General</c:formatCode>
                <c:ptCount val="9"/>
                <c:pt idx="0">
                  <c:v>60.854485017845597</c:v>
                </c:pt>
                <c:pt idx="1">
                  <c:v>27.7482236523939</c:v>
                </c:pt>
                <c:pt idx="2">
                  <c:v>6.9458637962085596</c:v>
                </c:pt>
                <c:pt idx="3">
                  <c:v>4.4514275335520201</c:v>
                </c:pt>
                <c:pt idx="5">
                  <c:v>74.601331515601899</c:v>
                </c:pt>
                <c:pt idx="6">
                  <c:v>21.107893511318199</c:v>
                </c:pt>
                <c:pt idx="7">
                  <c:v>3.4</c:v>
                </c:pt>
                <c:pt idx="8">
                  <c:v>0.89359308424913997</c:v>
                </c:pt>
              </c:numCache>
            </c:numRef>
          </c:val>
        </c:ser>
        <c:dLbls>
          <c:showLegendKey val="0"/>
          <c:showVal val="0"/>
          <c:showCatName val="0"/>
          <c:showSerName val="0"/>
          <c:showPercent val="0"/>
          <c:showBubbleSize val="0"/>
        </c:dLbls>
        <c:gapWidth val="182"/>
        <c:axId val="426583432"/>
        <c:axId val="426583824"/>
      </c:barChart>
      <c:catAx>
        <c:axId val="426583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6583824"/>
        <c:crosses val="autoZero"/>
        <c:auto val="1"/>
        <c:lblAlgn val="ctr"/>
        <c:lblOffset val="100"/>
        <c:noMultiLvlLbl val="0"/>
      </c:catAx>
      <c:valAx>
        <c:axId val="426583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6583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Arkusz7!$E$5</c:f>
              <c:strCache>
                <c:ptCount val="1"/>
                <c:pt idx="0">
                  <c:v>2000</c:v>
                </c:pt>
              </c:strCache>
            </c:strRef>
          </c:tx>
          <c:spPr>
            <a:solidFill>
              <a:schemeClr val="dk1">
                <a:tint val="88500"/>
              </a:schemeClr>
            </a:solidFill>
            <a:ln>
              <a:noFill/>
            </a:ln>
            <a:effectLst/>
          </c:spPr>
          <c:invertIfNegative val="0"/>
          <c:cat>
            <c:multiLvlStrRef>
              <c:f>Arkusz7!$C$6:$D$12</c:f>
              <c:multiLvlStrCache>
                <c:ptCount val="7"/>
                <c:lvl>
                  <c:pt idx="0">
                    <c:v>biznes</c:v>
                  </c:pt>
                  <c:pt idx="1">
                    <c:v>rząd</c:v>
                  </c:pt>
                  <c:pt idx="2">
                    <c:v>uczelnie</c:v>
                  </c:pt>
                  <c:pt idx="3">
                    <c:v>non profit</c:v>
                  </c:pt>
                  <c:pt idx="4">
                    <c:v>biznes</c:v>
                  </c:pt>
                  <c:pt idx="5">
                    <c:v>rząd</c:v>
                  </c:pt>
                  <c:pt idx="6">
                    <c:v>uczelnie</c:v>
                  </c:pt>
                </c:lvl>
                <c:lvl>
                  <c:pt idx="0">
                    <c:v>USA</c:v>
                  </c:pt>
                  <c:pt idx="4">
                    <c:v>Chiny</c:v>
                  </c:pt>
                </c:lvl>
              </c:multiLvlStrCache>
            </c:multiLvlStrRef>
          </c:cat>
          <c:val>
            <c:numRef>
              <c:f>Arkusz7!$E$6:$E$12</c:f>
              <c:numCache>
                <c:formatCode>General</c:formatCode>
                <c:ptCount val="7"/>
                <c:pt idx="0">
                  <c:v>74.193452634937799</c:v>
                </c:pt>
                <c:pt idx="1">
                  <c:v>10.7883478719023</c:v>
                </c:pt>
                <c:pt idx="2">
                  <c:v>11.388318930812201</c:v>
                </c:pt>
                <c:pt idx="3">
                  <c:v>3.62988056234764</c:v>
                </c:pt>
                <c:pt idx="4">
                  <c:v>59.9605879430367</c:v>
                </c:pt>
                <c:pt idx="5">
                  <c:v>31.471923096246901</c:v>
                </c:pt>
                <c:pt idx="6">
                  <c:v>8.5674889607163394</c:v>
                </c:pt>
              </c:numCache>
            </c:numRef>
          </c:val>
        </c:ser>
        <c:ser>
          <c:idx val="1"/>
          <c:order val="1"/>
          <c:tx>
            <c:strRef>
              <c:f>Arkusz7!$F$5</c:f>
              <c:strCache>
                <c:ptCount val="1"/>
                <c:pt idx="0">
                  <c:v>2006</c:v>
                </c:pt>
              </c:strCache>
            </c:strRef>
          </c:tx>
          <c:spPr>
            <a:solidFill>
              <a:schemeClr val="dk1">
                <a:tint val="55000"/>
              </a:schemeClr>
            </a:solidFill>
            <a:ln>
              <a:noFill/>
            </a:ln>
            <a:effectLst/>
          </c:spPr>
          <c:invertIfNegative val="0"/>
          <c:cat>
            <c:multiLvlStrRef>
              <c:f>Arkusz7!$C$6:$D$12</c:f>
              <c:multiLvlStrCache>
                <c:ptCount val="7"/>
                <c:lvl>
                  <c:pt idx="0">
                    <c:v>biznes</c:v>
                  </c:pt>
                  <c:pt idx="1">
                    <c:v>rząd</c:v>
                  </c:pt>
                  <c:pt idx="2">
                    <c:v>uczelnie</c:v>
                  </c:pt>
                  <c:pt idx="3">
                    <c:v>non profit</c:v>
                  </c:pt>
                  <c:pt idx="4">
                    <c:v>biznes</c:v>
                  </c:pt>
                  <c:pt idx="5">
                    <c:v>rząd</c:v>
                  </c:pt>
                  <c:pt idx="6">
                    <c:v>uczelnie</c:v>
                  </c:pt>
                </c:lvl>
                <c:lvl>
                  <c:pt idx="0">
                    <c:v>USA</c:v>
                  </c:pt>
                  <c:pt idx="4">
                    <c:v>Chiny</c:v>
                  </c:pt>
                </c:lvl>
              </c:multiLvlStrCache>
            </c:multiLvlStrRef>
          </c:cat>
          <c:val>
            <c:numRef>
              <c:f>Arkusz7!$F$6:$F$12</c:f>
              <c:numCache>
                <c:formatCode>General</c:formatCode>
                <c:ptCount val="7"/>
                <c:pt idx="0">
                  <c:v>70.0960580537065</c:v>
                </c:pt>
                <c:pt idx="1">
                  <c:v>11.9594258026536</c:v>
                </c:pt>
                <c:pt idx="2">
                  <c:v>13.8542657247657</c:v>
                </c:pt>
                <c:pt idx="3">
                  <c:v>4.0902504188742501</c:v>
                </c:pt>
                <c:pt idx="4">
                  <c:v>71.077950006669795</c:v>
                </c:pt>
                <c:pt idx="5">
                  <c:v>19.704520993430599</c:v>
                </c:pt>
                <c:pt idx="6">
                  <c:v>9.2175289998996401</c:v>
                </c:pt>
              </c:numCache>
            </c:numRef>
          </c:val>
        </c:ser>
        <c:ser>
          <c:idx val="2"/>
          <c:order val="2"/>
          <c:tx>
            <c:strRef>
              <c:f>Arkusz7!$G$5</c:f>
              <c:strCache>
                <c:ptCount val="1"/>
                <c:pt idx="0">
                  <c:v>2013</c:v>
                </c:pt>
              </c:strCache>
            </c:strRef>
          </c:tx>
          <c:spPr>
            <a:solidFill>
              <a:schemeClr val="dk1">
                <a:tint val="75000"/>
              </a:schemeClr>
            </a:solidFill>
            <a:ln>
              <a:noFill/>
            </a:ln>
            <a:effectLst/>
          </c:spPr>
          <c:invertIfNegative val="0"/>
          <c:cat>
            <c:multiLvlStrRef>
              <c:f>Arkusz7!$C$6:$D$12</c:f>
              <c:multiLvlStrCache>
                <c:ptCount val="7"/>
                <c:lvl>
                  <c:pt idx="0">
                    <c:v>biznes</c:v>
                  </c:pt>
                  <c:pt idx="1">
                    <c:v>rząd</c:v>
                  </c:pt>
                  <c:pt idx="2">
                    <c:v>uczelnie</c:v>
                  </c:pt>
                  <c:pt idx="3">
                    <c:v>non profit</c:v>
                  </c:pt>
                  <c:pt idx="4">
                    <c:v>biznes</c:v>
                  </c:pt>
                  <c:pt idx="5">
                    <c:v>rząd</c:v>
                  </c:pt>
                  <c:pt idx="6">
                    <c:v>uczelnie</c:v>
                  </c:pt>
                </c:lvl>
                <c:lvl>
                  <c:pt idx="0">
                    <c:v>USA</c:v>
                  </c:pt>
                  <c:pt idx="4">
                    <c:v>Chiny</c:v>
                  </c:pt>
                </c:lvl>
              </c:multiLvlStrCache>
            </c:multiLvlStrRef>
          </c:cat>
          <c:val>
            <c:numRef>
              <c:f>Arkusz7!$G$6:$G$12</c:f>
              <c:numCache>
                <c:formatCode>General</c:formatCode>
                <c:ptCount val="7"/>
                <c:pt idx="0">
                  <c:v>70.578606800779895</c:v>
                </c:pt>
                <c:pt idx="1">
                  <c:v>11.165113342684601</c:v>
                </c:pt>
                <c:pt idx="2">
                  <c:v>14.153885206476501</c:v>
                </c:pt>
                <c:pt idx="3">
                  <c:v>4.1023946500589803</c:v>
                </c:pt>
                <c:pt idx="4">
                  <c:v>76.611406399589995</c:v>
                </c:pt>
                <c:pt idx="5">
                  <c:v>16.156863751757498</c:v>
                </c:pt>
                <c:pt idx="6">
                  <c:v>7.2317298486524599</c:v>
                </c:pt>
              </c:numCache>
            </c:numRef>
          </c:val>
        </c:ser>
        <c:dLbls>
          <c:showLegendKey val="0"/>
          <c:showVal val="0"/>
          <c:showCatName val="0"/>
          <c:showSerName val="0"/>
          <c:showPercent val="0"/>
          <c:showBubbleSize val="0"/>
        </c:dLbls>
        <c:gapWidth val="219"/>
        <c:overlap val="-27"/>
        <c:axId val="426585000"/>
        <c:axId val="426584608"/>
      </c:barChart>
      <c:catAx>
        <c:axId val="42658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6584608"/>
        <c:crosses val="autoZero"/>
        <c:auto val="1"/>
        <c:lblAlgn val="ctr"/>
        <c:lblOffset val="100"/>
        <c:noMultiLvlLbl val="0"/>
      </c:catAx>
      <c:valAx>
        <c:axId val="42658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6585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Arkusz5!$A$11</c:f>
              <c:strCache>
                <c:ptCount val="1"/>
                <c:pt idx="0">
                  <c:v>USA</c:v>
                </c:pt>
              </c:strCache>
            </c:strRef>
          </c:tx>
          <c:spPr>
            <a:solidFill>
              <a:schemeClr val="dk1">
                <a:tint val="88500"/>
              </a:schemeClr>
            </a:solidFill>
            <a:ln>
              <a:noFill/>
            </a:ln>
            <a:effectLst/>
          </c:spPr>
          <c:invertIfNegative val="0"/>
          <c:cat>
            <c:strRef>
              <c:f>Arkusz5!$B$10:$P$10</c:f>
              <c:strCache>
                <c:ptCount val="15"/>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strCache>
            </c:strRef>
          </c:cat>
          <c:val>
            <c:numRef>
              <c:f>Arkusz5!$B$11:$P$11</c:f>
              <c:numCache>
                <c:formatCode>General</c:formatCode>
                <c:ptCount val="15"/>
                <c:pt idx="0">
                  <c:v>0</c:v>
                </c:pt>
                <c:pt idx="1">
                  <c:v>983259.32750000001</c:v>
                </c:pt>
                <c:pt idx="2">
                  <c:v>1013385.348</c:v>
                </c:pt>
                <c:pt idx="3">
                  <c:v>1047327.541</c:v>
                </c:pt>
                <c:pt idx="4">
                  <c:v>1126356.99</c:v>
                </c:pt>
                <c:pt idx="5">
                  <c:v>1105173.906</c:v>
                </c:pt>
                <c:pt idx="6">
                  <c:v>1101104.926</c:v>
                </c:pt>
                <c:pt idx="7">
                  <c:v>1130233.0660000001</c:v>
                </c:pt>
                <c:pt idx="8">
                  <c:v>1133582.916</c:v>
                </c:pt>
                <c:pt idx="9">
                  <c:v>1190957.203</c:v>
                </c:pt>
                <c:pt idx="10">
                  <c:v>1251409.95</c:v>
                </c:pt>
                <c:pt idx="11">
                  <c:v>1198776.551</c:v>
                </c:pt>
                <c:pt idx="12">
                  <c:v>1251998.088</c:v>
                </c:pt>
                <c:pt idx="13">
                  <c:v>1263203.5209999999</c:v>
                </c:pt>
                <c:pt idx="14">
                  <c:v>1307973.196</c:v>
                </c:pt>
              </c:numCache>
            </c:numRef>
          </c:val>
        </c:ser>
        <c:ser>
          <c:idx val="1"/>
          <c:order val="1"/>
          <c:tx>
            <c:strRef>
              <c:f>Arkusz5!$A$12</c:f>
              <c:strCache>
                <c:ptCount val="1"/>
                <c:pt idx="0">
                  <c:v>Chiny</c:v>
                </c:pt>
              </c:strCache>
            </c:strRef>
          </c:tx>
          <c:spPr>
            <a:solidFill>
              <a:schemeClr val="dk1">
                <a:tint val="55000"/>
              </a:schemeClr>
            </a:solidFill>
            <a:ln>
              <a:noFill/>
            </a:ln>
            <a:effectLst/>
          </c:spPr>
          <c:invertIfNegative val="0"/>
          <c:cat>
            <c:strRef>
              <c:f>Arkusz5!$B$10:$P$10</c:f>
              <c:strCache>
                <c:ptCount val="15"/>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strCache>
            </c:strRef>
          </c:cat>
          <c:val>
            <c:numRef>
              <c:f>Arkusz5!$B$12:$P$12</c:f>
              <c:numCache>
                <c:formatCode>General</c:formatCode>
                <c:ptCount val="15"/>
                <c:pt idx="0">
                  <c:v>0</c:v>
                </c:pt>
                <c:pt idx="1">
                  <c:v>695062</c:v>
                </c:pt>
                <c:pt idx="2">
                  <c:v>742726</c:v>
                </c:pt>
                <c:pt idx="3">
                  <c:v>810525</c:v>
                </c:pt>
                <c:pt idx="4">
                  <c:v>862108</c:v>
                </c:pt>
                <c:pt idx="5">
                  <c:v>926252</c:v>
                </c:pt>
                <c:pt idx="6">
                  <c:v>1118698</c:v>
                </c:pt>
                <c:pt idx="7">
                  <c:v>1223756.3999999999</c:v>
                </c:pt>
                <c:pt idx="8">
                  <c:v>1423381</c:v>
                </c:pt>
                <c:pt idx="9">
                  <c:v>1592420</c:v>
                </c:pt>
                <c:pt idx="10">
                  <c:v>1152311</c:v>
                </c:pt>
                <c:pt idx="11">
                  <c:v>1210840.8</c:v>
                </c:pt>
                <c:pt idx="12">
                  <c:v>1318086</c:v>
                </c:pt>
                <c:pt idx="13">
                  <c:v>1404017</c:v>
                </c:pt>
                <c:pt idx="14">
                  <c:v>1484039.7</c:v>
                </c:pt>
              </c:numCache>
            </c:numRef>
          </c:val>
        </c:ser>
        <c:dLbls>
          <c:showLegendKey val="0"/>
          <c:showVal val="0"/>
          <c:showCatName val="0"/>
          <c:showSerName val="0"/>
          <c:showPercent val="0"/>
          <c:showBubbleSize val="0"/>
        </c:dLbls>
        <c:gapWidth val="219"/>
        <c:overlap val="-27"/>
        <c:axId val="422562912"/>
        <c:axId val="422563304"/>
      </c:barChart>
      <c:catAx>
        <c:axId val="42256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563304"/>
        <c:crosses val="autoZero"/>
        <c:auto val="1"/>
        <c:lblAlgn val="ctr"/>
        <c:lblOffset val="100"/>
        <c:noMultiLvlLbl val="0"/>
      </c:catAx>
      <c:valAx>
        <c:axId val="422563304"/>
        <c:scaling>
          <c:orientation val="minMax"/>
          <c:max val="16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56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4580927384077"/>
          <c:y val="0.12078703703703704"/>
          <c:w val="0.86486351706036746"/>
          <c:h val="0.65028470399533389"/>
        </c:manualLayout>
      </c:layout>
      <c:barChart>
        <c:barDir val="col"/>
        <c:grouping val="clustered"/>
        <c:varyColors val="0"/>
        <c:ser>
          <c:idx val="0"/>
          <c:order val="0"/>
          <c:tx>
            <c:strRef>
              <c:f>Arkusz6!$A$6</c:f>
              <c:strCache>
                <c:ptCount val="1"/>
                <c:pt idx="0">
                  <c:v>USA - patenty PCT</c:v>
                </c:pt>
              </c:strCache>
            </c:strRef>
          </c:tx>
          <c:spPr>
            <a:solidFill>
              <a:schemeClr val="dk1">
                <a:tint val="88500"/>
              </a:schemeClr>
            </a:solidFill>
            <a:ln>
              <a:noFill/>
            </a:ln>
            <a:effectLst/>
          </c:spPr>
          <c:invertIfNegative val="0"/>
          <c:cat>
            <c:strRef>
              <c:f>Arkusz6!$B$5:$O$5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Arkusz6!$B$6:$O$6</c:f>
              <c:numCache>
                <c:formatCode>General</c:formatCode>
                <c:ptCount val="14"/>
                <c:pt idx="0">
                  <c:v>40836.9546335044</c:v>
                </c:pt>
                <c:pt idx="1">
                  <c:v>40025.399783890498</c:v>
                </c:pt>
                <c:pt idx="2">
                  <c:v>39913.669191729801</c:v>
                </c:pt>
                <c:pt idx="3">
                  <c:v>42198.788828806297</c:v>
                </c:pt>
                <c:pt idx="4">
                  <c:v>45607.948472958102</c:v>
                </c:pt>
                <c:pt idx="5">
                  <c:v>49771.095908982898</c:v>
                </c:pt>
                <c:pt idx="6">
                  <c:v>52060.060251596697</c:v>
                </c:pt>
                <c:pt idx="7">
                  <c:v>50039.054133358703</c:v>
                </c:pt>
                <c:pt idx="8">
                  <c:v>44652.461222214202</c:v>
                </c:pt>
                <c:pt idx="9">
                  <c:v>42888.416836177697</c:v>
                </c:pt>
                <c:pt idx="10">
                  <c:v>45228.514965763199</c:v>
                </c:pt>
                <c:pt idx="11">
                  <c:v>49242.442598527101</c:v>
                </c:pt>
                <c:pt idx="12">
                  <c:v>52332.365374657398</c:v>
                </c:pt>
                <c:pt idx="13">
                  <c:v>57265.881642231499</c:v>
                </c:pt>
              </c:numCache>
            </c:numRef>
          </c:val>
        </c:ser>
        <c:ser>
          <c:idx val="1"/>
          <c:order val="1"/>
          <c:tx>
            <c:strRef>
              <c:f>Arkusz6!$A$7</c:f>
              <c:strCache>
                <c:ptCount val="1"/>
                <c:pt idx="0">
                  <c:v>Chiny - patenty PCT</c:v>
                </c:pt>
              </c:strCache>
            </c:strRef>
          </c:tx>
          <c:spPr>
            <a:solidFill>
              <a:schemeClr val="dk1">
                <a:tint val="55000"/>
              </a:schemeClr>
            </a:solidFill>
            <a:ln>
              <a:noFill/>
            </a:ln>
            <a:effectLst/>
          </c:spPr>
          <c:invertIfNegative val="0"/>
          <c:cat>
            <c:strRef>
              <c:f>Arkusz6!$B$5:$O$5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Arkusz6!$B$7:$O$7</c:f>
              <c:numCache>
                <c:formatCode>General</c:formatCode>
                <c:ptCount val="14"/>
                <c:pt idx="0">
                  <c:v>1425.8145100069</c:v>
                </c:pt>
                <c:pt idx="1">
                  <c:v>747.13015595515606</c:v>
                </c:pt>
                <c:pt idx="2">
                  <c:v>1094.9431138306099</c:v>
                </c:pt>
                <c:pt idx="3">
                  <c:v>1456.5557280954399</c:v>
                </c:pt>
                <c:pt idx="4">
                  <c:v>2039.9749458874501</c:v>
                </c:pt>
                <c:pt idx="5">
                  <c:v>3520.9453610716801</c:v>
                </c:pt>
                <c:pt idx="6">
                  <c:v>4808.7464003387904</c:v>
                </c:pt>
                <c:pt idx="7">
                  <c:v>5978.1762116967902</c:v>
                </c:pt>
                <c:pt idx="8">
                  <c:v>6379.8121965452801</c:v>
                </c:pt>
                <c:pt idx="9">
                  <c:v>10169.860576188499</c:v>
                </c:pt>
                <c:pt idx="10">
                  <c:v>13535.586068098601</c:v>
                </c:pt>
                <c:pt idx="11">
                  <c:v>17330.6866395859</c:v>
                </c:pt>
                <c:pt idx="12">
                  <c:v>19085.750928325899</c:v>
                </c:pt>
                <c:pt idx="13">
                  <c:v>22185.047165436201</c:v>
                </c:pt>
              </c:numCache>
            </c:numRef>
          </c:val>
        </c:ser>
        <c:ser>
          <c:idx val="2"/>
          <c:order val="2"/>
          <c:tx>
            <c:strRef>
              <c:f>Arkusz6!$A$8</c:f>
              <c:strCache>
                <c:ptCount val="1"/>
                <c:pt idx="0">
                  <c:v>USA- patenty triadyczne</c:v>
                </c:pt>
              </c:strCache>
            </c:strRef>
          </c:tx>
          <c:spPr>
            <a:solidFill>
              <a:schemeClr val="dk1">
                <a:tint val="75000"/>
              </a:schemeClr>
            </a:solidFill>
            <a:ln>
              <a:noFill/>
            </a:ln>
            <a:effectLst/>
          </c:spPr>
          <c:invertIfNegative val="0"/>
          <c:cat>
            <c:strRef>
              <c:f>Arkusz6!$B$5:$O$5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Arkusz6!$B$8:$O$8</c:f>
              <c:numCache>
                <c:formatCode>General</c:formatCode>
                <c:ptCount val="14"/>
                <c:pt idx="0">
                  <c:v>15624.7924121792</c:v>
                </c:pt>
                <c:pt idx="1">
                  <c:v>15897.638820878599</c:v>
                </c:pt>
                <c:pt idx="2">
                  <c:v>16460.645367534598</c:v>
                </c:pt>
                <c:pt idx="3">
                  <c:v>16766.118386113601</c:v>
                </c:pt>
                <c:pt idx="4">
                  <c:v>17212.360063698699</c:v>
                </c:pt>
                <c:pt idx="5">
                  <c:v>17376.6029035791</c:v>
                </c:pt>
                <c:pt idx="6">
                  <c:v>15490.3868375519</c:v>
                </c:pt>
                <c:pt idx="7">
                  <c:v>13904.093020390799</c:v>
                </c:pt>
                <c:pt idx="8">
                  <c:v>13828.209395349601</c:v>
                </c:pt>
                <c:pt idx="9">
                  <c:v>13513.656918061</c:v>
                </c:pt>
                <c:pt idx="10">
                  <c:v>12725.378564063099</c:v>
                </c:pt>
                <c:pt idx="11">
                  <c:v>13011.6416165228</c:v>
                </c:pt>
                <c:pt idx="12">
                  <c:v>13709.3583267339</c:v>
                </c:pt>
                <c:pt idx="13">
                  <c:v>14211.4589974723</c:v>
                </c:pt>
              </c:numCache>
            </c:numRef>
          </c:val>
        </c:ser>
        <c:ser>
          <c:idx val="3"/>
          <c:order val="3"/>
          <c:tx>
            <c:strRef>
              <c:f>Arkusz6!$A$9</c:f>
              <c:strCache>
                <c:ptCount val="1"/>
                <c:pt idx="0">
                  <c:v>Chiny- patenty triadyczne</c:v>
                </c:pt>
              </c:strCache>
            </c:strRef>
          </c:tx>
          <c:spPr>
            <a:solidFill>
              <a:schemeClr val="dk1">
                <a:tint val="98500"/>
              </a:schemeClr>
            </a:solidFill>
            <a:ln>
              <a:noFill/>
            </a:ln>
            <a:effectLst/>
          </c:spPr>
          <c:invertIfNegative val="0"/>
          <c:cat>
            <c:strRef>
              <c:f>Arkusz6!$B$5:$O$5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Arkusz6!$B$9:$O$9</c:f>
              <c:numCache>
                <c:formatCode>General</c:formatCode>
                <c:ptCount val="14"/>
                <c:pt idx="0">
                  <c:v>87.021221561985897</c:v>
                </c:pt>
                <c:pt idx="1">
                  <c:v>152.29228847041301</c:v>
                </c:pt>
                <c:pt idx="2">
                  <c:v>271.791809298884</c:v>
                </c:pt>
                <c:pt idx="3">
                  <c:v>356.25893847833299</c:v>
                </c:pt>
                <c:pt idx="4">
                  <c:v>401.663493529655</c:v>
                </c:pt>
                <c:pt idx="5">
                  <c:v>518.67920132722099</c:v>
                </c:pt>
                <c:pt idx="6">
                  <c:v>561.06004363004399</c:v>
                </c:pt>
                <c:pt idx="7">
                  <c:v>689.83405304252301</c:v>
                </c:pt>
                <c:pt idx="8">
                  <c:v>826.72534353191804</c:v>
                </c:pt>
                <c:pt idx="9">
                  <c:v>1295.5761179792</c:v>
                </c:pt>
                <c:pt idx="10">
                  <c:v>1419.8786339178901</c:v>
                </c:pt>
                <c:pt idx="11">
                  <c:v>1545.15009574685</c:v>
                </c:pt>
                <c:pt idx="12">
                  <c:v>1714.6416241064301</c:v>
                </c:pt>
                <c:pt idx="13">
                  <c:v>1896.71519975047</c:v>
                </c:pt>
              </c:numCache>
            </c:numRef>
          </c:val>
        </c:ser>
        <c:dLbls>
          <c:showLegendKey val="0"/>
          <c:showVal val="0"/>
          <c:showCatName val="0"/>
          <c:showSerName val="0"/>
          <c:showPercent val="0"/>
          <c:showBubbleSize val="0"/>
        </c:dLbls>
        <c:gapWidth val="219"/>
        <c:overlap val="-27"/>
        <c:axId val="422558992"/>
        <c:axId val="422564088"/>
      </c:barChart>
      <c:catAx>
        <c:axId val="42255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564088"/>
        <c:crosses val="autoZero"/>
        <c:auto val="1"/>
        <c:lblAlgn val="ctr"/>
        <c:lblOffset val="100"/>
        <c:noMultiLvlLbl val="0"/>
      </c:catAx>
      <c:valAx>
        <c:axId val="422564088"/>
        <c:scaling>
          <c:orientation val="minMax"/>
          <c:max val="6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2558992"/>
        <c:crosses val="autoZero"/>
        <c:crossBetween val="between"/>
      </c:valAx>
      <c:spPr>
        <a:noFill/>
        <a:ln>
          <a:noFill/>
        </a:ln>
        <a:effectLst/>
      </c:spPr>
    </c:plotArea>
    <c:legend>
      <c:legendPos val="b"/>
      <c:layout>
        <c:manualLayout>
          <c:xMode val="edge"/>
          <c:yMode val="edge"/>
          <c:x val="0.15174431321084864"/>
          <c:y val="0.86016160123566976"/>
          <c:w val="0.73540026246719159"/>
          <c:h val="0.123033786844530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6188-B31D-4ED3-A54D-F51B1119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4066</Words>
  <Characters>24402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Wach</dc:creator>
  <cp:lastModifiedBy>Anna</cp:lastModifiedBy>
  <cp:revision>4</cp:revision>
  <cp:lastPrinted>2016-12-18T20:31:00Z</cp:lastPrinted>
  <dcterms:created xsi:type="dcterms:W3CDTF">2016-12-20T23:31:00Z</dcterms:created>
  <dcterms:modified xsi:type="dcterms:W3CDTF">2016-12-20T23:35:00Z</dcterms:modified>
</cp:coreProperties>
</file>