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A0" w:rsidRPr="00866860" w:rsidRDefault="00DD55A0" w:rsidP="00DD55A0">
      <w:pPr>
        <w:spacing w:line="240" w:lineRule="auto"/>
        <w:jc w:val="right"/>
        <w:rPr>
          <w:rFonts w:cs="Times New Roman"/>
          <w:b/>
          <w:szCs w:val="24"/>
        </w:rPr>
      </w:pPr>
      <w:r>
        <w:rPr>
          <w:rFonts w:cs="Times New Roman"/>
          <w:b/>
          <w:szCs w:val="24"/>
        </w:rPr>
        <w:t>Marek Maciejewski</w:t>
      </w:r>
    </w:p>
    <w:p w:rsidR="00DD55A0" w:rsidRPr="00866860" w:rsidRDefault="00DD55A0" w:rsidP="00DD55A0">
      <w:pPr>
        <w:spacing w:line="240" w:lineRule="auto"/>
        <w:jc w:val="right"/>
        <w:rPr>
          <w:rFonts w:cs="Times New Roman"/>
          <w:szCs w:val="24"/>
        </w:rPr>
      </w:pPr>
      <w:r w:rsidRPr="00866860">
        <w:rPr>
          <w:rFonts w:cs="Times New Roman"/>
          <w:szCs w:val="24"/>
        </w:rPr>
        <w:t>Uniwersytet Ekonomiczny w Krakowie</w:t>
      </w:r>
    </w:p>
    <w:p w:rsidR="00DD55A0" w:rsidRPr="00866860" w:rsidRDefault="00DD55A0" w:rsidP="00DD55A0">
      <w:pPr>
        <w:spacing w:line="240" w:lineRule="auto"/>
        <w:jc w:val="right"/>
        <w:rPr>
          <w:rFonts w:cs="Times New Roman"/>
          <w:szCs w:val="24"/>
        </w:rPr>
      </w:pPr>
      <w:r w:rsidRPr="00866860">
        <w:rPr>
          <w:rFonts w:cs="Times New Roman"/>
          <w:szCs w:val="24"/>
        </w:rPr>
        <w:t>Wydział Ekonomii i Stosunków Międzynarodowych</w:t>
      </w:r>
    </w:p>
    <w:p w:rsidR="00DD55A0" w:rsidRPr="00866860" w:rsidRDefault="00DD55A0" w:rsidP="00DD55A0">
      <w:pPr>
        <w:spacing w:line="240" w:lineRule="auto"/>
        <w:jc w:val="right"/>
        <w:rPr>
          <w:rFonts w:cs="Times New Roman"/>
          <w:szCs w:val="24"/>
        </w:rPr>
      </w:pPr>
      <w:r w:rsidRPr="00866860">
        <w:rPr>
          <w:rFonts w:cs="Times New Roman"/>
          <w:szCs w:val="24"/>
        </w:rPr>
        <w:t>Katedra Handlu Zagranicznego</w:t>
      </w:r>
    </w:p>
    <w:p w:rsidR="00DD55A0" w:rsidRPr="00DD55A0" w:rsidRDefault="00DD55A0" w:rsidP="00DD55A0">
      <w:pPr>
        <w:spacing w:after="120" w:line="240" w:lineRule="auto"/>
        <w:jc w:val="right"/>
        <w:rPr>
          <w:rFonts w:cs="Times New Roman"/>
          <w:b/>
          <w:sz w:val="44"/>
          <w:szCs w:val="44"/>
          <w:lang w:val="en-US"/>
        </w:rPr>
      </w:pPr>
      <w:r w:rsidRPr="00DD55A0">
        <w:rPr>
          <w:rFonts w:cs="Times New Roman"/>
          <w:szCs w:val="24"/>
          <w:lang w:val="en-US"/>
        </w:rPr>
        <w:t xml:space="preserve">e-mail: </w:t>
      </w:r>
      <w:r>
        <w:rPr>
          <w:rFonts w:cs="Times New Roman"/>
          <w:szCs w:val="24"/>
          <w:lang w:val="en-US"/>
        </w:rPr>
        <w:t>marek.maciejewski</w:t>
      </w:r>
      <w:r w:rsidRPr="00DD55A0">
        <w:rPr>
          <w:rFonts w:cs="Times New Roman"/>
          <w:szCs w:val="24"/>
          <w:lang w:val="en-US"/>
        </w:rPr>
        <w:t>@uek.krakow.pl</w:t>
      </w:r>
    </w:p>
    <w:p w:rsidR="00943604" w:rsidRPr="00BF1B7E" w:rsidRDefault="00E05924" w:rsidP="00943604">
      <w:pPr>
        <w:spacing w:after="120" w:line="240" w:lineRule="auto"/>
        <w:jc w:val="center"/>
        <w:rPr>
          <w:rFonts w:cs="Times New Roman"/>
          <w:b/>
          <w:sz w:val="44"/>
          <w:szCs w:val="44"/>
        </w:rPr>
      </w:pPr>
      <w:r>
        <w:rPr>
          <w:rFonts w:cs="Times New Roman"/>
          <w:b/>
          <w:sz w:val="44"/>
          <w:szCs w:val="44"/>
        </w:rPr>
        <w:t>Determinanty wykorzystania czynników wytwórczych w strukturze eksportu państw Unii Europejskiej</w:t>
      </w:r>
      <w:r w:rsidR="00943604" w:rsidRPr="00BA2413">
        <w:rPr>
          <w:rStyle w:val="Odwoanieprzypisudolnego"/>
          <w:rFonts w:cs="Times New Roman"/>
          <w:b/>
          <w:sz w:val="44"/>
          <w:szCs w:val="44"/>
        </w:rPr>
        <w:footnoteReference w:id="1"/>
      </w:r>
    </w:p>
    <w:p w:rsidR="00943604" w:rsidRDefault="00943604" w:rsidP="00943604">
      <w:pPr>
        <w:spacing w:after="120" w:line="240" w:lineRule="auto"/>
        <w:rPr>
          <w:rFonts w:cs="Times New Roman"/>
          <w:b/>
          <w:szCs w:val="24"/>
        </w:rPr>
      </w:pPr>
    </w:p>
    <w:p w:rsidR="00943604" w:rsidRDefault="00943604" w:rsidP="00943604">
      <w:pPr>
        <w:spacing w:after="120" w:line="240" w:lineRule="auto"/>
        <w:ind w:left="284"/>
        <w:rPr>
          <w:rFonts w:cs="Times New Roman"/>
          <w:b/>
          <w:szCs w:val="24"/>
        </w:rPr>
      </w:pPr>
      <w:r>
        <w:rPr>
          <w:rFonts w:cs="Times New Roman"/>
          <w:b/>
          <w:szCs w:val="24"/>
        </w:rPr>
        <w:t>Streszczenie</w:t>
      </w:r>
    </w:p>
    <w:p w:rsidR="00943604" w:rsidRDefault="00943604" w:rsidP="004C165E">
      <w:pPr>
        <w:tabs>
          <w:tab w:val="left" w:leader="dot" w:pos="10773"/>
        </w:tabs>
        <w:spacing w:after="120" w:line="240" w:lineRule="auto"/>
        <w:ind w:left="284"/>
        <w:jc w:val="both"/>
        <w:rPr>
          <w:rFonts w:cs="Times New Roman"/>
          <w:bCs/>
          <w:szCs w:val="24"/>
        </w:rPr>
      </w:pPr>
      <w:r>
        <w:rPr>
          <w:rFonts w:cs="Times New Roman"/>
          <w:bCs/>
          <w:szCs w:val="24"/>
        </w:rPr>
        <w:t xml:space="preserve">CEL NAUKOWY: </w:t>
      </w:r>
      <w:r w:rsidRPr="00F372EE">
        <w:rPr>
          <w:rFonts w:cs="Times New Roman"/>
          <w:bCs/>
          <w:szCs w:val="24"/>
        </w:rPr>
        <w:t xml:space="preserve">Celem artykułu jest </w:t>
      </w:r>
      <w:r w:rsidR="004C165E">
        <w:rPr>
          <w:rFonts w:cs="Times New Roman"/>
          <w:bCs/>
          <w:szCs w:val="24"/>
        </w:rPr>
        <w:t xml:space="preserve">wykazanie zróżnicowania intensywności wykorzystania czynników wytwórczych w eksporcie państw Unii Europejskiej, które nie może być wyjaśniane wyłącznie </w:t>
      </w:r>
      <w:r w:rsidR="009117D3">
        <w:rPr>
          <w:rFonts w:cs="Times New Roman"/>
          <w:bCs/>
          <w:szCs w:val="24"/>
        </w:rPr>
        <w:t>zasobami pozostającymi w dyspozycji tych państw.</w:t>
      </w:r>
      <w:r>
        <w:rPr>
          <w:rFonts w:cs="Times New Roman"/>
          <w:bCs/>
          <w:szCs w:val="24"/>
        </w:rPr>
        <w:t xml:space="preserve"> </w:t>
      </w:r>
    </w:p>
    <w:p w:rsidR="00943604" w:rsidRDefault="00943604" w:rsidP="00100F61">
      <w:pPr>
        <w:tabs>
          <w:tab w:val="left" w:leader="dot" w:pos="10773"/>
        </w:tabs>
        <w:spacing w:after="120" w:line="240" w:lineRule="auto"/>
        <w:ind w:left="284"/>
        <w:jc w:val="both"/>
        <w:rPr>
          <w:rFonts w:cs="Times New Roman"/>
          <w:bCs/>
          <w:szCs w:val="24"/>
        </w:rPr>
      </w:pPr>
      <w:r>
        <w:rPr>
          <w:rFonts w:cs="Times New Roman"/>
          <w:bCs/>
          <w:szCs w:val="24"/>
        </w:rPr>
        <w:t xml:space="preserve">PROBLEM I METODY BADAWCZE: </w:t>
      </w:r>
      <w:r w:rsidR="009117D3">
        <w:rPr>
          <w:rFonts w:cs="Times New Roman"/>
          <w:bCs/>
          <w:szCs w:val="24"/>
        </w:rPr>
        <w:t xml:space="preserve">Praca stanowi empiryczną analizę ogólnych i bilateralnych obrotów handlowych państw Unii Europejskiej. Wykorzystano w niej dane statystyczne dla analizy porównawczej struktur i konstrukcji modelu grawitacyjnego. Wykorzystano pakiet statystyczny </w:t>
      </w:r>
      <w:proofErr w:type="spellStart"/>
      <w:r w:rsidR="009117D3">
        <w:rPr>
          <w:rFonts w:cs="Times New Roman"/>
          <w:bCs/>
          <w:szCs w:val="24"/>
        </w:rPr>
        <w:t>Gretl</w:t>
      </w:r>
      <w:proofErr w:type="spellEnd"/>
      <w:r w:rsidR="009117D3">
        <w:rPr>
          <w:rFonts w:cs="Times New Roman"/>
          <w:bCs/>
          <w:szCs w:val="24"/>
        </w:rPr>
        <w:t>.</w:t>
      </w:r>
    </w:p>
    <w:p w:rsidR="00943604" w:rsidRDefault="00943604" w:rsidP="00100F61">
      <w:pPr>
        <w:tabs>
          <w:tab w:val="left" w:leader="dot" w:pos="10773"/>
        </w:tabs>
        <w:spacing w:after="120" w:line="240" w:lineRule="auto"/>
        <w:ind w:left="284"/>
        <w:jc w:val="both"/>
        <w:rPr>
          <w:rFonts w:cs="Times New Roman"/>
          <w:bCs/>
          <w:szCs w:val="24"/>
        </w:rPr>
      </w:pPr>
      <w:r>
        <w:rPr>
          <w:rFonts w:cs="Times New Roman"/>
          <w:bCs/>
          <w:szCs w:val="24"/>
        </w:rPr>
        <w:t xml:space="preserve">PROCES WYWODU: </w:t>
      </w:r>
      <w:r w:rsidR="00100F61">
        <w:rPr>
          <w:rFonts w:cs="Times New Roman"/>
          <w:bCs/>
          <w:szCs w:val="24"/>
        </w:rPr>
        <w:t>Wywód składa się z dwóch</w:t>
      </w:r>
      <w:r>
        <w:rPr>
          <w:rFonts w:cs="Times New Roman"/>
          <w:bCs/>
          <w:szCs w:val="24"/>
        </w:rPr>
        <w:t xml:space="preserve"> zasadniczych elementów. </w:t>
      </w:r>
      <w:r w:rsidR="009117D3">
        <w:rPr>
          <w:rFonts w:cs="Times New Roman"/>
          <w:bCs/>
          <w:szCs w:val="24"/>
        </w:rPr>
        <w:t xml:space="preserve">W pierwszym dokonano przeglądu literatury z zakresu teorii zagadnienia od strony merytorycznej oraz warsztatowej. </w:t>
      </w:r>
      <w:r w:rsidR="00100F61">
        <w:rPr>
          <w:rFonts w:cs="Times New Roman"/>
          <w:bCs/>
          <w:szCs w:val="24"/>
        </w:rPr>
        <w:t>Natomiast w części empirycznej przeprowadzono analizę danych statystycznych UNCTAD.</w:t>
      </w:r>
    </w:p>
    <w:p w:rsidR="00943604" w:rsidRDefault="00943604" w:rsidP="00100F61">
      <w:pPr>
        <w:tabs>
          <w:tab w:val="left" w:leader="dot" w:pos="10773"/>
        </w:tabs>
        <w:spacing w:after="120" w:line="240" w:lineRule="auto"/>
        <w:ind w:left="284"/>
        <w:jc w:val="both"/>
        <w:rPr>
          <w:rFonts w:cs="Times New Roman"/>
          <w:szCs w:val="24"/>
        </w:rPr>
      </w:pPr>
      <w:r>
        <w:rPr>
          <w:rFonts w:cs="Times New Roman"/>
          <w:bCs/>
          <w:szCs w:val="24"/>
        </w:rPr>
        <w:t xml:space="preserve">WYNIKI ANALIZY NAUKOWEJ: </w:t>
      </w:r>
      <w:r w:rsidR="00100F61">
        <w:rPr>
          <w:rFonts w:cs="Times New Roman"/>
          <w:bCs/>
          <w:szCs w:val="24"/>
        </w:rPr>
        <w:t xml:space="preserve">Ustalono, że </w:t>
      </w:r>
      <w:r w:rsidR="00100F61">
        <w:rPr>
          <w:rFonts w:cs="Times New Roman"/>
          <w:szCs w:val="24"/>
        </w:rPr>
        <w:t xml:space="preserve">znaczenie dla atrakcyjności podejmowania współpracy handlowej w UE mają </w:t>
      </w:r>
      <w:r w:rsidR="00C81FE9">
        <w:rPr>
          <w:rFonts w:cs="Times New Roman"/>
          <w:szCs w:val="24"/>
        </w:rPr>
        <w:t xml:space="preserve">czynniki </w:t>
      </w:r>
      <w:r w:rsidR="00100F61">
        <w:rPr>
          <w:rFonts w:cs="Times New Roman"/>
          <w:szCs w:val="24"/>
        </w:rPr>
        <w:t xml:space="preserve">kluczowe w konstruowaniu grawitacyjnych modeli handlu zagranicznego, jak wielkość i poziom rozwoju </w:t>
      </w:r>
      <w:r w:rsidR="00176F47">
        <w:rPr>
          <w:rFonts w:cs="Times New Roman"/>
          <w:szCs w:val="24"/>
        </w:rPr>
        <w:t>partnerów gospodarczych</w:t>
      </w:r>
      <w:r w:rsidR="00100F61">
        <w:rPr>
          <w:rFonts w:cs="Times New Roman"/>
          <w:szCs w:val="24"/>
        </w:rPr>
        <w:t>, odległość geograficzna, czy wspólna granica</w:t>
      </w:r>
      <w:r w:rsidR="00176F47">
        <w:rPr>
          <w:rFonts w:cs="Times New Roman"/>
          <w:szCs w:val="24"/>
        </w:rPr>
        <w:t>.</w:t>
      </w:r>
    </w:p>
    <w:p w:rsidR="00943604" w:rsidRDefault="00943604" w:rsidP="00A128E4">
      <w:pPr>
        <w:tabs>
          <w:tab w:val="left" w:leader="dot" w:pos="10773"/>
        </w:tabs>
        <w:spacing w:after="120" w:line="240" w:lineRule="auto"/>
        <w:ind w:left="284"/>
        <w:jc w:val="both"/>
        <w:rPr>
          <w:rFonts w:cs="Times New Roman"/>
          <w:szCs w:val="24"/>
        </w:rPr>
      </w:pPr>
      <w:r>
        <w:rPr>
          <w:rFonts w:cs="Times New Roman"/>
          <w:szCs w:val="24"/>
        </w:rPr>
        <w:t xml:space="preserve">WNIOSKI, INNOWACJE, REKOMENDACJE: </w:t>
      </w:r>
      <w:r w:rsidR="00176F47">
        <w:rPr>
          <w:rFonts w:cs="Times New Roman"/>
          <w:szCs w:val="24"/>
        </w:rPr>
        <w:t>Zasob</w:t>
      </w:r>
      <w:r w:rsidR="00A128E4">
        <w:rPr>
          <w:rFonts w:cs="Times New Roman"/>
          <w:szCs w:val="24"/>
        </w:rPr>
        <w:t>y czynników wytwórczych nie mają</w:t>
      </w:r>
      <w:r w:rsidR="00176F47">
        <w:rPr>
          <w:rFonts w:cs="Times New Roman"/>
          <w:szCs w:val="24"/>
        </w:rPr>
        <w:t xml:space="preserve"> bezpośredniego przełożenia na strukturę eksportu. Decydujący w tym zakresie jest obrany kierunek współpracy gospodarczej</w:t>
      </w:r>
      <w:r w:rsidR="005F6FCE">
        <w:rPr>
          <w:rFonts w:cs="Times New Roman"/>
          <w:szCs w:val="24"/>
        </w:rPr>
        <w:t>.</w:t>
      </w:r>
    </w:p>
    <w:p w:rsidR="00943604" w:rsidRDefault="00943604" w:rsidP="00943604">
      <w:pPr>
        <w:tabs>
          <w:tab w:val="left" w:leader="dot" w:pos="10773"/>
        </w:tabs>
        <w:spacing w:after="120" w:line="240" w:lineRule="auto"/>
        <w:ind w:left="284"/>
        <w:rPr>
          <w:rFonts w:cs="Times New Roman"/>
          <w:bCs/>
          <w:szCs w:val="24"/>
        </w:rPr>
      </w:pPr>
    </w:p>
    <w:p w:rsidR="00943604" w:rsidRDefault="00943604" w:rsidP="00943604">
      <w:pPr>
        <w:tabs>
          <w:tab w:val="left" w:leader="dot" w:pos="10773"/>
        </w:tabs>
        <w:spacing w:after="120" w:line="240" w:lineRule="auto"/>
        <w:ind w:left="284"/>
        <w:rPr>
          <w:rFonts w:cs="Times New Roman"/>
          <w:szCs w:val="24"/>
        </w:rPr>
      </w:pPr>
      <w:r>
        <w:rPr>
          <w:rFonts w:cs="Times New Roman"/>
          <w:b/>
          <w:szCs w:val="24"/>
        </w:rPr>
        <w:t>Słowa kluczowe:</w:t>
      </w:r>
      <w:r w:rsidR="00176F47">
        <w:rPr>
          <w:rFonts w:cs="Times New Roman"/>
          <w:szCs w:val="24"/>
        </w:rPr>
        <w:t>, czynniki wytwórcze, eksport, model grawitacyjny, struktura towarowa , Unia Europejska</w:t>
      </w:r>
      <w:r>
        <w:rPr>
          <w:rFonts w:cs="Times New Roman"/>
          <w:szCs w:val="24"/>
        </w:rPr>
        <w:t xml:space="preserve"> </w:t>
      </w:r>
    </w:p>
    <w:p w:rsidR="00943604" w:rsidRDefault="00943604" w:rsidP="00943604">
      <w:pPr>
        <w:spacing w:after="120" w:line="240" w:lineRule="auto"/>
        <w:jc w:val="center"/>
        <w:rPr>
          <w:rFonts w:cs="Times New Roman"/>
          <w:szCs w:val="24"/>
        </w:rPr>
      </w:pPr>
    </w:p>
    <w:p w:rsidR="00DD55A0" w:rsidRDefault="00DD55A0" w:rsidP="00943604">
      <w:pPr>
        <w:spacing w:after="120" w:line="240" w:lineRule="auto"/>
        <w:jc w:val="center"/>
        <w:rPr>
          <w:rFonts w:cs="Times New Roman"/>
          <w:szCs w:val="24"/>
        </w:rPr>
      </w:pPr>
    </w:p>
    <w:p w:rsidR="00DD55A0" w:rsidRDefault="00DD55A0" w:rsidP="00943604">
      <w:pPr>
        <w:spacing w:after="120" w:line="240" w:lineRule="auto"/>
        <w:jc w:val="center"/>
        <w:rPr>
          <w:rFonts w:cs="Times New Roman"/>
          <w:szCs w:val="24"/>
        </w:rPr>
      </w:pPr>
    </w:p>
    <w:p w:rsidR="00DD55A0" w:rsidRDefault="00DD55A0" w:rsidP="00943604">
      <w:pPr>
        <w:spacing w:after="120" w:line="240" w:lineRule="auto"/>
        <w:jc w:val="center"/>
        <w:rPr>
          <w:rFonts w:cs="Times New Roman"/>
          <w:szCs w:val="24"/>
        </w:rPr>
      </w:pPr>
    </w:p>
    <w:p w:rsidR="00943604" w:rsidRPr="00A160A1" w:rsidRDefault="00DD55A0" w:rsidP="00943604">
      <w:pPr>
        <w:spacing w:after="120" w:line="240" w:lineRule="auto"/>
        <w:jc w:val="center"/>
        <w:rPr>
          <w:rFonts w:cs="Times New Roman"/>
          <w:sz w:val="44"/>
          <w:szCs w:val="44"/>
          <w:lang w:val="en-GB"/>
        </w:rPr>
      </w:pPr>
      <w:r>
        <w:rPr>
          <w:rFonts w:cs="Times New Roman"/>
          <w:sz w:val="44"/>
          <w:szCs w:val="44"/>
          <w:lang w:val="en-GB"/>
        </w:rPr>
        <w:lastRenderedPageBreak/>
        <w:t>Determinants of the use of production factors in the export structure of the EU countries</w:t>
      </w:r>
    </w:p>
    <w:p w:rsidR="00943604" w:rsidRPr="00943604" w:rsidRDefault="00943604" w:rsidP="00943604">
      <w:pPr>
        <w:spacing w:after="120" w:line="240" w:lineRule="auto"/>
        <w:rPr>
          <w:rFonts w:cs="Times New Roman"/>
          <w:b/>
          <w:szCs w:val="24"/>
          <w:lang w:val="en-US"/>
        </w:rPr>
      </w:pPr>
    </w:p>
    <w:p w:rsidR="00943604" w:rsidRPr="00A160A1" w:rsidRDefault="00943604" w:rsidP="00A128E4">
      <w:pPr>
        <w:spacing w:after="120" w:line="240" w:lineRule="auto"/>
        <w:ind w:left="284"/>
        <w:rPr>
          <w:rFonts w:cs="Times New Roman"/>
          <w:b/>
          <w:szCs w:val="24"/>
          <w:lang w:val="en-GB"/>
        </w:rPr>
      </w:pPr>
      <w:r w:rsidRPr="00A160A1">
        <w:rPr>
          <w:rFonts w:cs="Times New Roman"/>
          <w:b/>
          <w:szCs w:val="24"/>
          <w:lang w:val="en-GB"/>
        </w:rPr>
        <w:t>Summary</w:t>
      </w:r>
    </w:p>
    <w:p w:rsidR="00943604" w:rsidRPr="00A160A1" w:rsidRDefault="00943604" w:rsidP="00A128E4">
      <w:pPr>
        <w:tabs>
          <w:tab w:val="left" w:leader="dot" w:pos="10773"/>
        </w:tabs>
        <w:spacing w:after="120" w:line="240" w:lineRule="auto"/>
        <w:ind w:left="284"/>
        <w:jc w:val="both"/>
        <w:rPr>
          <w:rFonts w:cs="Times New Roman"/>
          <w:bCs/>
          <w:szCs w:val="24"/>
          <w:lang w:val="en-GB"/>
        </w:rPr>
      </w:pPr>
      <w:r w:rsidRPr="00A160A1">
        <w:rPr>
          <w:rFonts w:cs="Times New Roman"/>
          <w:bCs/>
          <w:szCs w:val="24"/>
          <w:lang w:val="en-GB"/>
        </w:rPr>
        <w:t xml:space="preserve">RESEARCH OBJECTIVE: </w:t>
      </w:r>
      <w:r w:rsidR="00EB48D1" w:rsidRPr="00093FEE">
        <w:rPr>
          <w:rFonts w:cs="Times New Roman"/>
          <w:szCs w:val="24"/>
          <w:lang w:val="en-US"/>
        </w:rPr>
        <w:t xml:space="preserve">The aim of this article is to demonstrate the </w:t>
      </w:r>
      <w:r w:rsidR="00EB48D1" w:rsidRPr="00093FEE">
        <w:rPr>
          <w:rStyle w:val="shorttext"/>
          <w:rFonts w:cs="Times New Roman"/>
          <w:szCs w:val="24"/>
          <w:lang w:val="en-US"/>
        </w:rPr>
        <w:t>differences in the intensity of use</w:t>
      </w:r>
      <w:r w:rsidR="00EB48D1" w:rsidRPr="00EB48D1">
        <w:rPr>
          <w:rFonts w:cs="Times New Roman"/>
          <w:szCs w:val="24"/>
          <w:lang w:val="en-US"/>
        </w:rPr>
        <w:t xml:space="preserve"> </w:t>
      </w:r>
      <w:r w:rsidR="00EB48D1" w:rsidRPr="00093FEE">
        <w:rPr>
          <w:rFonts w:cs="Times New Roman"/>
          <w:szCs w:val="24"/>
          <w:lang w:val="en-US"/>
        </w:rPr>
        <w:t xml:space="preserve">of production factors in the export of the European Union countries, which </w:t>
      </w:r>
      <w:proofErr w:type="spellStart"/>
      <w:r w:rsidR="00EB48D1" w:rsidRPr="00093FEE">
        <w:rPr>
          <w:rFonts w:cs="Times New Roman"/>
          <w:szCs w:val="24"/>
          <w:lang w:val="en-US"/>
        </w:rPr>
        <w:t>can not</w:t>
      </w:r>
      <w:proofErr w:type="spellEnd"/>
      <w:r w:rsidR="00EB48D1" w:rsidRPr="00093FEE">
        <w:rPr>
          <w:rFonts w:cs="Times New Roman"/>
          <w:szCs w:val="24"/>
          <w:lang w:val="en-US"/>
        </w:rPr>
        <w:t xml:space="preserve"> be explained only by resources at the disposal of these countries.</w:t>
      </w:r>
    </w:p>
    <w:p w:rsidR="00943604" w:rsidRPr="00A160A1" w:rsidRDefault="00943604" w:rsidP="00A128E4">
      <w:pPr>
        <w:tabs>
          <w:tab w:val="left" w:leader="dot" w:pos="10773"/>
        </w:tabs>
        <w:spacing w:after="120" w:line="240" w:lineRule="auto"/>
        <w:ind w:left="284"/>
        <w:jc w:val="both"/>
        <w:rPr>
          <w:rFonts w:cs="Times New Roman"/>
          <w:bCs/>
          <w:szCs w:val="24"/>
          <w:lang w:val="en-GB"/>
        </w:rPr>
      </w:pPr>
      <w:r w:rsidRPr="00A160A1">
        <w:rPr>
          <w:rFonts w:cs="Times New Roman"/>
          <w:bCs/>
          <w:szCs w:val="24"/>
          <w:lang w:val="en-GB"/>
        </w:rPr>
        <w:t>THE RESEARCH PROBLEM AND METHODS:</w:t>
      </w:r>
      <w:r w:rsidRPr="00A160A1">
        <w:rPr>
          <w:lang w:val="en-GB"/>
        </w:rPr>
        <w:t xml:space="preserve"> </w:t>
      </w:r>
      <w:r w:rsidRPr="00A160A1">
        <w:rPr>
          <w:rFonts w:cs="Times New Roman"/>
          <w:bCs/>
          <w:szCs w:val="24"/>
          <w:lang w:val="en-GB"/>
        </w:rPr>
        <w:t xml:space="preserve">The </w:t>
      </w:r>
      <w:r w:rsidR="00EB48D1">
        <w:rPr>
          <w:rFonts w:cs="Times New Roman"/>
          <w:bCs/>
          <w:szCs w:val="24"/>
          <w:lang w:val="en-GB"/>
        </w:rPr>
        <w:t>paper is an empirical analysis of the general and bilateral trade of the EU countries. The article use the statistical data for comparative analysis</w:t>
      </w:r>
      <w:r w:rsidR="00350752">
        <w:rPr>
          <w:rFonts w:cs="Times New Roman"/>
          <w:bCs/>
          <w:szCs w:val="24"/>
          <w:lang w:val="en-GB"/>
        </w:rPr>
        <w:t xml:space="preserve"> of the export structure and construction of the gravity model.</w:t>
      </w:r>
    </w:p>
    <w:p w:rsidR="00943604" w:rsidRPr="00A160A1" w:rsidRDefault="00943604" w:rsidP="00A128E4">
      <w:pPr>
        <w:tabs>
          <w:tab w:val="left" w:leader="dot" w:pos="10773"/>
        </w:tabs>
        <w:spacing w:after="120" w:line="240" w:lineRule="auto"/>
        <w:ind w:left="284"/>
        <w:jc w:val="both"/>
        <w:rPr>
          <w:rFonts w:cs="Times New Roman"/>
          <w:bCs/>
          <w:szCs w:val="24"/>
          <w:lang w:val="en-GB"/>
        </w:rPr>
      </w:pPr>
      <w:r w:rsidRPr="00A160A1">
        <w:rPr>
          <w:rFonts w:cs="Times New Roman"/>
          <w:bCs/>
          <w:szCs w:val="24"/>
          <w:lang w:val="en-GB"/>
        </w:rPr>
        <w:t xml:space="preserve">THE PROCESS OF ARGUMENTATION: The </w:t>
      </w:r>
      <w:r>
        <w:rPr>
          <w:rFonts w:cs="Times New Roman"/>
          <w:bCs/>
          <w:szCs w:val="24"/>
          <w:lang w:val="en-GB"/>
        </w:rPr>
        <w:t xml:space="preserve">line of reasoning </w:t>
      </w:r>
      <w:r w:rsidR="00350752">
        <w:rPr>
          <w:rFonts w:cs="Times New Roman"/>
          <w:bCs/>
          <w:szCs w:val="24"/>
          <w:lang w:val="en-GB"/>
        </w:rPr>
        <w:t>consists of two</w:t>
      </w:r>
      <w:r w:rsidRPr="00A160A1">
        <w:rPr>
          <w:rFonts w:cs="Times New Roman"/>
          <w:bCs/>
          <w:szCs w:val="24"/>
          <w:lang w:val="en-GB"/>
        </w:rPr>
        <w:t xml:space="preserve"> essential elements. </w:t>
      </w:r>
      <w:r>
        <w:rPr>
          <w:rFonts w:cs="Times New Roman"/>
          <w:bCs/>
          <w:szCs w:val="24"/>
          <w:lang w:val="en-GB"/>
        </w:rPr>
        <w:t xml:space="preserve">At first, the </w:t>
      </w:r>
      <w:r w:rsidRPr="00A160A1">
        <w:rPr>
          <w:rFonts w:cs="Times New Roman"/>
          <w:bCs/>
          <w:szCs w:val="24"/>
          <w:lang w:val="en-GB"/>
        </w:rPr>
        <w:t xml:space="preserve">conclusions </w:t>
      </w:r>
      <w:r>
        <w:rPr>
          <w:rFonts w:cs="Times New Roman"/>
          <w:bCs/>
          <w:szCs w:val="24"/>
          <w:lang w:val="en-GB"/>
        </w:rPr>
        <w:t xml:space="preserve">are </w:t>
      </w:r>
      <w:r w:rsidRPr="00A160A1">
        <w:rPr>
          <w:rFonts w:cs="Times New Roman"/>
          <w:bCs/>
          <w:szCs w:val="24"/>
          <w:lang w:val="en-GB"/>
        </w:rPr>
        <w:t xml:space="preserve">drawn </w:t>
      </w:r>
      <w:r>
        <w:rPr>
          <w:rFonts w:cs="Times New Roman"/>
          <w:bCs/>
          <w:szCs w:val="24"/>
          <w:lang w:val="en-GB"/>
        </w:rPr>
        <w:t xml:space="preserve">based on </w:t>
      </w:r>
      <w:r w:rsidRPr="00A160A1">
        <w:rPr>
          <w:rFonts w:cs="Times New Roman"/>
          <w:bCs/>
          <w:szCs w:val="24"/>
          <w:lang w:val="en-GB"/>
        </w:rPr>
        <w:t>the analysis of the literature</w:t>
      </w:r>
      <w:r w:rsidR="00C81FE9">
        <w:rPr>
          <w:rFonts w:cs="Times New Roman"/>
          <w:bCs/>
          <w:szCs w:val="24"/>
          <w:lang w:val="en-GB"/>
        </w:rPr>
        <w:t>.</w:t>
      </w:r>
      <w:r w:rsidRPr="00A160A1">
        <w:rPr>
          <w:rFonts w:cs="Times New Roman"/>
          <w:bCs/>
          <w:szCs w:val="24"/>
          <w:lang w:val="en-GB"/>
        </w:rPr>
        <w:t xml:space="preserve"> The main empirical </w:t>
      </w:r>
      <w:r>
        <w:rPr>
          <w:rFonts w:cs="Times New Roman"/>
          <w:bCs/>
          <w:szCs w:val="24"/>
          <w:lang w:val="en-GB"/>
        </w:rPr>
        <w:t xml:space="preserve">part of the </w:t>
      </w:r>
      <w:r w:rsidRPr="00A160A1">
        <w:rPr>
          <w:rFonts w:cs="Times New Roman"/>
          <w:bCs/>
          <w:szCs w:val="24"/>
          <w:lang w:val="en-GB"/>
        </w:rPr>
        <w:t>article is based on quantitative analysis.</w:t>
      </w:r>
      <w:r w:rsidR="00C81FE9">
        <w:rPr>
          <w:rFonts w:cs="Times New Roman"/>
          <w:bCs/>
          <w:szCs w:val="24"/>
          <w:lang w:val="en-GB"/>
        </w:rPr>
        <w:t xml:space="preserve"> UNCTAD was used as a </w:t>
      </w:r>
      <w:r>
        <w:rPr>
          <w:rFonts w:cs="Times New Roman"/>
          <w:bCs/>
          <w:szCs w:val="24"/>
          <w:lang w:val="en-GB"/>
        </w:rPr>
        <w:t xml:space="preserve">database of </w:t>
      </w:r>
      <w:r w:rsidR="00C81FE9">
        <w:rPr>
          <w:rFonts w:cs="Times New Roman"/>
          <w:bCs/>
          <w:szCs w:val="24"/>
          <w:lang w:val="en-GB"/>
        </w:rPr>
        <w:t>statistical data</w:t>
      </w:r>
      <w:r>
        <w:rPr>
          <w:rFonts w:cs="Times New Roman"/>
          <w:bCs/>
          <w:szCs w:val="24"/>
          <w:lang w:val="en-GB"/>
        </w:rPr>
        <w:t xml:space="preserve">. </w:t>
      </w:r>
    </w:p>
    <w:p w:rsidR="00943604" w:rsidRPr="00A160A1" w:rsidRDefault="00943604" w:rsidP="00A128E4">
      <w:pPr>
        <w:tabs>
          <w:tab w:val="left" w:leader="dot" w:pos="10773"/>
        </w:tabs>
        <w:spacing w:after="120" w:line="240" w:lineRule="auto"/>
        <w:ind w:left="284"/>
        <w:jc w:val="both"/>
        <w:rPr>
          <w:rFonts w:cs="Times New Roman"/>
          <w:szCs w:val="24"/>
          <w:lang w:val="en-GB"/>
        </w:rPr>
      </w:pPr>
      <w:r w:rsidRPr="00A160A1">
        <w:rPr>
          <w:rFonts w:cs="Times New Roman"/>
          <w:bCs/>
          <w:szCs w:val="24"/>
          <w:lang w:val="en-GB"/>
        </w:rPr>
        <w:t xml:space="preserve">RESEARCH RESULTS: </w:t>
      </w:r>
      <w:r w:rsidR="00A128E4" w:rsidRPr="00093FEE">
        <w:rPr>
          <w:rFonts w:cs="Times New Roman"/>
          <w:color w:val="222222"/>
          <w:szCs w:val="24"/>
          <w:lang w:val="en-US"/>
        </w:rPr>
        <w:t>Importance for the attractiveness of making commercial cooperation in the EU are key factors in constructing the gravity model of foreign trade, as the size and level of development of economic partners, geographical distance and the common border.</w:t>
      </w:r>
    </w:p>
    <w:p w:rsidR="00943604" w:rsidRPr="00A160A1" w:rsidRDefault="00943604" w:rsidP="005F6FCE">
      <w:pPr>
        <w:tabs>
          <w:tab w:val="left" w:leader="dot" w:pos="10773"/>
        </w:tabs>
        <w:spacing w:after="120" w:line="240" w:lineRule="auto"/>
        <w:ind w:left="284"/>
        <w:jc w:val="both"/>
        <w:rPr>
          <w:rFonts w:cs="Times New Roman"/>
          <w:szCs w:val="24"/>
          <w:lang w:val="en-GB"/>
        </w:rPr>
      </w:pPr>
      <w:r w:rsidRPr="00A160A1">
        <w:rPr>
          <w:rFonts w:cs="Times New Roman"/>
          <w:szCs w:val="24"/>
          <w:lang w:val="en-GB"/>
        </w:rPr>
        <w:t xml:space="preserve">CONCLUSIONS, INNOVATIONS AND RECOMMENDATIONS: </w:t>
      </w:r>
      <w:r>
        <w:rPr>
          <w:rFonts w:cs="Times New Roman"/>
          <w:szCs w:val="24"/>
          <w:lang w:val="en-GB"/>
        </w:rPr>
        <w:t>T</w:t>
      </w:r>
      <w:r w:rsidRPr="00A160A1">
        <w:rPr>
          <w:rFonts w:cs="Times New Roman"/>
          <w:szCs w:val="24"/>
          <w:lang w:val="en-GB"/>
        </w:rPr>
        <w:t xml:space="preserve">he </w:t>
      </w:r>
      <w:r w:rsidR="00A128E4">
        <w:rPr>
          <w:rFonts w:cs="Times New Roman"/>
          <w:szCs w:val="24"/>
          <w:lang w:val="en-GB"/>
        </w:rPr>
        <w:t xml:space="preserve">resources of production factors have no direct impact on the </w:t>
      </w:r>
      <w:r w:rsidR="000E07B9">
        <w:rPr>
          <w:rFonts w:cs="Times New Roman"/>
          <w:szCs w:val="24"/>
          <w:lang w:val="en-GB"/>
        </w:rPr>
        <w:t xml:space="preserve">export </w:t>
      </w:r>
      <w:r w:rsidR="00A128E4">
        <w:rPr>
          <w:rFonts w:cs="Times New Roman"/>
          <w:szCs w:val="24"/>
          <w:lang w:val="en-GB"/>
        </w:rPr>
        <w:t>structure</w:t>
      </w:r>
      <w:r w:rsidR="000E07B9">
        <w:rPr>
          <w:rFonts w:cs="Times New Roman"/>
          <w:szCs w:val="24"/>
          <w:lang w:val="en-GB"/>
        </w:rPr>
        <w:t xml:space="preserve">. </w:t>
      </w:r>
      <w:r w:rsidR="005F6FCE">
        <w:rPr>
          <w:rFonts w:cs="Times New Roman"/>
          <w:szCs w:val="24"/>
          <w:lang w:val="en-GB"/>
        </w:rPr>
        <w:t>The chosen direction of economic cooperation is essential.</w:t>
      </w:r>
    </w:p>
    <w:p w:rsidR="00943604" w:rsidRPr="00943604" w:rsidRDefault="00943604" w:rsidP="00A128E4">
      <w:pPr>
        <w:tabs>
          <w:tab w:val="left" w:leader="dot" w:pos="10773"/>
        </w:tabs>
        <w:spacing w:after="120" w:line="240" w:lineRule="auto"/>
        <w:ind w:left="284"/>
        <w:rPr>
          <w:rFonts w:cs="Times New Roman"/>
          <w:b/>
          <w:szCs w:val="24"/>
          <w:lang w:val="en-US"/>
        </w:rPr>
      </w:pPr>
    </w:p>
    <w:p w:rsidR="00943604" w:rsidRPr="00CD73B1" w:rsidRDefault="00943604" w:rsidP="00A128E4">
      <w:pPr>
        <w:tabs>
          <w:tab w:val="left" w:leader="dot" w:pos="10773"/>
        </w:tabs>
        <w:spacing w:after="120" w:line="240" w:lineRule="auto"/>
        <w:ind w:left="284"/>
        <w:rPr>
          <w:rFonts w:cs="Times New Roman"/>
          <w:szCs w:val="24"/>
          <w:lang w:val="en-GB"/>
        </w:rPr>
      </w:pPr>
      <w:r w:rsidRPr="00CD73B1">
        <w:rPr>
          <w:rFonts w:cs="Times New Roman"/>
          <w:b/>
          <w:szCs w:val="24"/>
          <w:lang w:val="en-GB"/>
        </w:rPr>
        <w:t>Keywords:</w:t>
      </w:r>
      <w:r w:rsidRPr="00CD73B1">
        <w:rPr>
          <w:rFonts w:cs="Times New Roman"/>
          <w:szCs w:val="24"/>
          <w:lang w:val="en-GB"/>
        </w:rPr>
        <w:t xml:space="preserve"> </w:t>
      </w:r>
      <w:r w:rsidR="005F6FCE">
        <w:rPr>
          <w:rFonts w:cs="Times New Roman"/>
          <w:szCs w:val="24"/>
          <w:lang w:val="en-GB"/>
        </w:rPr>
        <w:t>commodity structure, export, gravity model, production factors</w:t>
      </w:r>
    </w:p>
    <w:p w:rsidR="00943604" w:rsidRPr="00943604" w:rsidRDefault="00943604" w:rsidP="00943604">
      <w:pPr>
        <w:tabs>
          <w:tab w:val="left" w:leader="dot" w:pos="10773"/>
        </w:tabs>
        <w:rPr>
          <w:rFonts w:cs="Times New Roman"/>
          <w:b/>
          <w:szCs w:val="24"/>
          <w:lang w:val="en-US"/>
        </w:rPr>
      </w:pPr>
    </w:p>
    <w:p w:rsidR="00943604" w:rsidRDefault="00943604" w:rsidP="0059231D">
      <w:pPr>
        <w:contextualSpacing/>
        <w:jc w:val="both"/>
        <w:rPr>
          <w:spacing w:val="-2"/>
        </w:rPr>
      </w:pPr>
      <w:r>
        <w:rPr>
          <w:rFonts w:cs="Times New Roman"/>
          <w:b/>
          <w:szCs w:val="24"/>
        </w:rPr>
        <w:t>Wstęp</w:t>
      </w:r>
    </w:p>
    <w:p w:rsidR="00900D59" w:rsidRDefault="00900D59" w:rsidP="0059231D">
      <w:pPr>
        <w:contextualSpacing/>
        <w:jc w:val="both"/>
        <w:rPr>
          <w:spacing w:val="-2"/>
        </w:rPr>
      </w:pPr>
      <w:r>
        <w:rPr>
          <w:spacing w:val="-2"/>
        </w:rPr>
        <w:t xml:space="preserve">Zgodnie z teorią obfitości zasobów, a zatem twierdzeniem </w:t>
      </w:r>
      <w:proofErr w:type="spellStart"/>
      <w:r>
        <w:rPr>
          <w:spacing w:val="-2"/>
        </w:rPr>
        <w:t>Heckschera-Ohlina</w:t>
      </w:r>
      <w:proofErr w:type="spellEnd"/>
      <w:r>
        <w:rPr>
          <w:spacing w:val="-2"/>
        </w:rPr>
        <w:t>, każdy kraj powinien specjalizować się w wytwarzaniu i eksporcie tych towarów, których produkcja wymaga bardziej intensywnego zastosowania czynników wytwórczych, w jaki</w:t>
      </w:r>
      <w:r w:rsidR="005F6FCE">
        <w:rPr>
          <w:spacing w:val="-2"/>
        </w:rPr>
        <w:t>e</w:t>
      </w:r>
      <w:r>
        <w:rPr>
          <w:spacing w:val="-2"/>
        </w:rPr>
        <w:t xml:space="preserve"> jest dobrze wyposażony (</w:t>
      </w:r>
      <w:proofErr w:type="spellStart"/>
      <w:r>
        <w:rPr>
          <w:spacing w:val="-2"/>
        </w:rPr>
        <w:t>Misala</w:t>
      </w:r>
      <w:proofErr w:type="spellEnd"/>
      <w:r>
        <w:rPr>
          <w:spacing w:val="-2"/>
        </w:rPr>
        <w:t>, 2001, s. 19).</w:t>
      </w:r>
      <w:r w:rsidR="00676C61">
        <w:rPr>
          <w:spacing w:val="-2"/>
        </w:rPr>
        <w:t xml:space="preserve"> Tę część twierdzenia określa się jako teoremat </w:t>
      </w:r>
      <w:proofErr w:type="spellStart"/>
      <w:r w:rsidR="00676C61">
        <w:rPr>
          <w:spacing w:val="-2"/>
        </w:rPr>
        <w:t>H-O</w:t>
      </w:r>
      <w:proofErr w:type="spellEnd"/>
      <w:r w:rsidR="00676C61">
        <w:rPr>
          <w:spacing w:val="-2"/>
        </w:rPr>
        <w:t xml:space="preserve">. Wymaga on spełnienia szeregu założeń, jak m.in. identyczne preferencje nabywców i podobna technologia wytwarzania w każdym kraju, brak ograniczeń w handlu oraz </w:t>
      </w:r>
      <w:r w:rsidR="004561DD">
        <w:rPr>
          <w:spacing w:val="-2"/>
        </w:rPr>
        <w:t xml:space="preserve">mobilność czynników produkcji wewnątrz kraju przy jej braku w skali międzynarodowej </w:t>
      </w:r>
      <w:r w:rsidR="00676C61">
        <w:rPr>
          <w:spacing w:val="-2"/>
        </w:rPr>
        <w:t xml:space="preserve">(Jasiński, 2014, s. 35). </w:t>
      </w:r>
      <w:r w:rsidR="00F3154F">
        <w:rPr>
          <w:spacing w:val="-2"/>
        </w:rPr>
        <w:t xml:space="preserve">Drugi człon twierdzenia wyprowadzanego z analizy </w:t>
      </w:r>
      <w:proofErr w:type="spellStart"/>
      <w:r w:rsidR="00F3154F">
        <w:rPr>
          <w:spacing w:val="-2"/>
        </w:rPr>
        <w:t>Heckschera-Ohlina</w:t>
      </w:r>
      <w:proofErr w:type="spellEnd"/>
      <w:r w:rsidR="00F3154F">
        <w:rPr>
          <w:spacing w:val="-2"/>
        </w:rPr>
        <w:t xml:space="preserve">, zakładający wyrównywanie się cen czynników produkcji w warunkach wolnego handlu, określa się teorematem </w:t>
      </w:r>
      <w:proofErr w:type="spellStart"/>
      <w:r w:rsidR="00F3154F">
        <w:rPr>
          <w:spacing w:val="-2"/>
        </w:rPr>
        <w:t>Heckschera-Ohlina-Samuelsona</w:t>
      </w:r>
      <w:proofErr w:type="spellEnd"/>
      <w:r w:rsidR="00F3154F">
        <w:rPr>
          <w:spacing w:val="-2"/>
        </w:rPr>
        <w:t xml:space="preserve"> (teoremat </w:t>
      </w:r>
      <w:proofErr w:type="spellStart"/>
      <w:r w:rsidR="00F3154F">
        <w:rPr>
          <w:spacing w:val="-2"/>
        </w:rPr>
        <w:t>H-O-S</w:t>
      </w:r>
      <w:proofErr w:type="spellEnd"/>
      <w:r w:rsidR="00F3154F">
        <w:rPr>
          <w:spacing w:val="-2"/>
        </w:rPr>
        <w:t xml:space="preserve">). W jego myśl specjalizacja w produkcji wyrobów bazujących na obfitym zasobie, doprowadzi do wzrostu jego ceny oraz do spadku cen zasobów, z których produkcji wycofano się na rzecz importu. A zatem mimo braku </w:t>
      </w:r>
      <w:r w:rsidR="00F3154F">
        <w:rPr>
          <w:spacing w:val="-2"/>
        </w:rPr>
        <w:lastRenderedPageBreak/>
        <w:t>m</w:t>
      </w:r>
      <w:r w:rsidR="00E21D83">
        <w:rPr>
          <w:spacing w:val="-2"/>
        </w:rPr>
        <w:t>obilności</w:t>
      </w:r>
      <w:r w:rsidR="00F3154F">
        <w:rPr>
          <w:spacing w:val="-2"/>
        </w:rPr>
        <w:t xml:space="preserve"> czynników produkcji, nastąpi wyrównywanie się ich cen</w:t>
      </w:r>
      <w:r w:rsidR="00E21D83">
        <w:rPr>
          <w:spacing w:val="-2"/>
        </w:rPr>
        <w:t xml:space="preserve"> w wyniku wymiany międzynarodowej. Stanowi ona bowiem substytut mobilności migr</w:t>
      </w:r>
      <w:r w:rsidR="00775BD6">
        <w:rPr>
          <w:spacing w:val="-2"/>
        </w:rPr>
        <w:t>acji czynników produkcji, ponieważ</w:t>
      </w:r>
      <w:r w:rsidR="00E21D83">
        <w:rPr>
          <w:spacing w:val="-2"/>
        </w:rPr>
        <w:t xml:space="preserve"> eksport produktów, których produkcja oparta jest o wykorzystanie określonego czynnika wytwórczego, powoduje w pośredni sposób eksport tego czynnika na rynek partnera handlowego (</w:t>
      </w:r>
      <w:proofErr w:type="spellStart"/>
      <w:r w:rsidR="00E21D83">
        <w:rPr>
          <w:spacing w:val="-2"/>
        </w:rPr>
        <w:t>Morawczyński</w:t>
      </w:r>
      <w:proofErr w:type="spellEnd"/>
      <w:r w:rsidR="00E21D83">
        <w:rPr>
          <w:spacing w:val="-2"/>
        </w:rPr>
        <w:t xml:space="preserve">, 2005, </w:t>
      </w:r>
      <w:r w:rsidR="004861B7">
        <w:rPr>
          <w:spacing w:val="-2"/>
        </w:rPr>
        <w:t xml:space="preserve">s. </w:t>
      </w:r>
      <w:r w:rsidR="00E21D83">
        <w:rPr>
          <w:spacing w:val="-2"/>
        </w:rPr>
        <w:t>50).</w:t>
      </w:r>
      <w:r w:rsidR="004561DD">
        <w:rPr>
          <w:spacing w:val="-2"/>
        </w:rPr>
        <w:t xml:space="preserve"> Próby empirycznej weryfikacji twierdzenia </w:t>
      </w:r>
      <w:proofErr w:type="spellStart"/>
      <w:r w:rsidR="004561DD">
        <w:rPr>
          <w:spacing w:val="-2"/>
        </w:rPr>
        <w:t>Heckschera-Ohlina</w:t>
      </w:r>
      <w:proofErr w:type="spellEnd"/>
      <w:r w:rsidR="004561DD">
        <w:rPr>
          <w:spacing w:val="-2"/>
        </w:rPr>
        <w:t xml:space="preserve"> zwykle n</w:t>
      </w:r>
      <w:r w:rsidR="005F6FCE">
        <w:rPr>
          <w:spacing w:val="-2"/>
        </w:rPr>
        <w:t>ie były w stanie potwierdzić jego</w:t>
      </w:r>
      <w:r w:rsidR="004561DD">
        <w:rPr>
          <w:spacing w:val="-2"/>
        </w:rPr>
        <w:t xml:space="preserve"> słuszności (Michałek, 2014, </w:t>
      </w:r>
      <w:r w:rsidR="00291F84">
        <w:rPr>
          <w:spacing w:val="-2"/>
        </w:rPr>
        <w:t>s. 390</w:t>
      </w:r>
      <w:r w:rsidR="004561DD">
        <w:rPr>
          <w:spacing w:val="-2"/>
        </w:rPr>
        <w:t>)</w:t>
      </w:r>
      <w:r w:rsidR="00291F84">
        <w:rPr>
          <w:spacing w:val="-2"/>
        </w:rPr>
        <w:t>.</w:t>
      </w:r>
      <w:r w:rsidR="00B20A7B">
        <w:rPr>
          <w:spacing w:val="-2"/>
        </w:rPr>
        <w:t xml:space="preserve"> Działo się tak głównie za sprawą przyjętych do twierdzenia trudnych do spełnienia założeń, w tym dotyczących mobilności czynników produkcji, które z jednej strony zakładały brak kosztów przesunięć zasobów w obrębie kraju czy przedsiębiorstwa, a z drugiej strony nie uwzględniały wykraczania tej mobilności poza granice kraju. Teoria nie uwzględniała również rozwoju handlu wewnątrzgałęziowego</w:t>
      </w:r>
      <w:r w:rsidR="0038148D">
        <w:rPr>
          <w:spacing w:val="-2"/>
        </w:rPr>
        <w:t>, który postępował głównie pomiędzy krajami wysoko rozwiniętymi o podobnym wyposażeniu w czynniki produkcji, bazując na przewagach uzyskiwanych dzięki korzyściom skali (Cieślik, 2000, s. 23). Zbyt dużym uproszczeniem okazało się również założenie o takich samych metodach wytwarzania w poszczególnych krajach</w:t>
      </w:r>
      <w:r w:rsidR="00FB327C">
        <w:rPr>
          <w:spacing w:val="-2"/>
        </w:rPr>
        <w:t>. Źródeł przewag przedsiębiorstw upatrywano bowiem wyłącznie w ich otoczeniu, pomijając kwestie poprawy produktywności w wyniku transferu technologii, poprawy jakości produktu, czy organizacji produkcji (Gorynia, 1988, s. 961).</w:t>
      </w:r>
    </w:p>
    <w:p w:rsidR="003C6261" w:rsidRDefault="003C6261" w:rsidP="0059231D">
      <w:pPr>
        <w:contextualSpacing/>
        <w:jc w:val="both"/>
        <w:rPr>
          <w:spacing w:val="-2"/>
        </w:rPr>
      </w:pPr>
      <w:r>
        <w:rPr>
          <w:spacing w:val="-2"/>
        </w:rPr>
        <w:tab/>
        <w:t xml:space="preserve">Artykuł podejmuje tematykę intensywności wykorzystania czynników wytwórczych w strukturze eksportu państw Unii Europejskiej na unijny rynek. Celem opracowania jest wykazanie, iż zasoby czynników wytwórczych nie znajdują bezpośredniego przełożenia na strukturę obrotów towarowych. </w:t>
      </w:r>
      <w:r w:rsidR="00A51407">
        <w:rPr>
          <w:spacing w:val="-2"/>
        </w:rPr>
        <w:t xml:space="preserve">Dokonano tego poprzez analizę struktury eksportu poszczególnych państw na rynek </w:t>
      </w:r>
      <w:r w:rsidR="00BA2413">
        <w:rPr>
          <w:spacing w:val="-2"/>
        </w:rPr>
        <w:t>UE</w:t>
      </w:r>
      <w:r w:rsidR="00A51407">
        <w:rPr>
          <w:spacing w:val="-2"/>
        </w:rPr>
        <w:t>, badanie bilateralnych obrotów handlowych w obrębie UE z elementami analizy porównawczej oraz poprzez wykorzystanie grawitacyjnego modelu handlu międzynarodowego dla grup produktów wyodrębnionych z uwagi na intensywność wykorzystania czynników wytwórczych.</w:t>
      </w:r>
    </w:p>
    <w:p w:rsidR="00900D59" w:rsidRDefault="00900D59" w:rsidP="0059231D">
      <w:pPr>
        <w:contextualSpacing/>
        <w:jc w:val="both"/>
        <w:rPr>
          <w:spacing w:val="-2"/>
        </w:rPr>
      </w:pPr>
    </w:p>
    <w:p w:rsidR="0059231D" w:rsidRDefault="00DD55A0" w:rsidP="008B3204">
      <w:pPr>
        <w:contextualSpacing/>
        <w:jc w:val="both"/>
        <w:rPr>
          <w:noProof/>
          <w:spacing w:val="-2"/>
          <w:lang w:eastAsia="pl-PL"/>
        </w:rPr>
      </w:pPr>
      <w:r>
        <w:rPr>
          <w:rFonts w:cs="Times New Roman"/>
          <w:b/>
          <w:szCs w:val="24"/>
        </w:rPr>
        <w:t>Zróżnicowanie struktury towarowej eksportu państw Unii Europejskiej w obrotach na wspólnym rynku</w:t>
      </w:r>
    </w:p>
    <w:p w:rsidR="00E52203" w:rsidRDefault="008B3204" w:rsidP="008B3204">
      <w:pPr>
        <w:contextualSpacing/>
        <w:jc w:val="both"/>
        <w:rPr>
          <w:noProof/>
          <w:spacing w:val="-2"/>
          <w:lang w:eastAsia="pl-PL"/>
        </w:rPr>
      </w:pPr>
      <w:r>
        <w:rPr>
          <w:noProof/>
          <w:spacing w:val="-2"/>
          <w:lang w:eastAsia="pl-PL"/>
        </w:rPr>
        <w:t>A</w:t>
      </w:r>
      <w:r w:rsidRPr="004C1206">
        <w:rPr>
          <w:noProof/>
          <w:spacing w:val="-2"/>
          <w:lang w:eastAsia="pl-PL"/>
        </w:rPr>
        <w:t xml:space="preserve">naliza struktury eksportu państw Unii Europejskiej pozwala odnieść się do zróżnicowania w tym zakresie na poziomie poszczególnych krajów członkowskich. </w:t>
      </w:r>
      <w:r w:rsidR="00C45B31">
        <w:rPr>
          <w:noProof/>
          <w:spacing w:val="-2"/>
          <w:lang w:eastAsia="pl-PL"/>
        </w:rPr>
        <w:t xml:space="preserve">W ich strukturze eksportu dokonano wyodrębnienia strumieni wywozu z uwagi na intensywność wykorzystania czynników wytwórczych, wyróżniając produkty surowcochłonne, pracochłonne, kapitałochłonne, intensywne technologicznie łatwe do imitacji oraz intensywne technologicznie </w:t>
      </w:r>
      <w:r w:rsidR="00C45B31">
        <w:rPr>
          <w:noProof/>
          <w:spacing w:val="-2"/>
          <w:lang w:eastAsia="pl-PL"/>
        </w:rPr>
        <w:lastRenderedPageBreak/>
        <w:t>trudne do imitacji</w:t>
      </w:r>
      <w:r w:rsidR="00C45B31" w:rsidRPr="004C1206">
        <w:rPr>
          <w:rStyle w:val="Odwoanieprzypisudolnego"/>
          <w:noProof/>
          <w:spacing w:val="-2"/>
          <w:lang w:eastAsia="pl-PL"/>
        </w:rPr>
        <w:footnoteReference w:id="2"/>
      </w:r>
      <w:r w:rsidR="00C45B31">
        <w:rPr>
          <w:noProof/>
          <w:spacing w:val="-2"/>
          <w:lang w:eastAsia="pl-PL"/>
        </w:rPr>
        <w:t xml:space="preserve">. </w:t>
      </w:r>
      <w:r w:rsidR="005F6FCE">
        <w:rPr>
          <w:noProof/>
          <w:spacing w:val="-2"/>
          <w:lang w:eastAsia="pl-PL"/>
        </w:rPr>
        <w:t>Analizę tę</w:t>
      </w:r>
      <w:r w:rsidRPr="004C1206">
        <w:rPr>
          <w:noProof/>
          <w:spacing w:val="-2"/>
          <w:lang w:eastAsia="pl-PL"/>
        </w:rPr>
        <w:t xml:space="preserve"> </w:t>
      </w:r>
      <w:r w:rsidR="0059231D">
        <w:rPr>
          <w:noProof/>
          <w:spacing w:val="-2"/>
          <w:lang w:eastAsia="pl-PL"/>
        </w:rPr>
        <w:t xml:space="preserve">w pierwszej kolejności </w:t>
      </w:r>
      <w:r w:rsidRPr="004C1206">
        <w:rPr>
          <w:noProof/>
          <w:spacing w:val="-2"/>
          <w:lang w:eastAsia="pl-PL"/>
        </w:rPr>
        <w:t>pr</w:t>
      </w:r>
      <w:r w:rsidR="00E277EF">
        <w:rPr>
          <w:noProof/>
          <w:spacing w:val="-2"/>
          <w:lang w:eastAsia="pl-PL"/>
        </w:rPr>
        <w:t xml:space="preserve">zeprowadzono </w:t>
      </w:r>
      <w:r>
        <w:rPr>
          <w:noProof/>
          <w:spacing w:val="-2"/>
          <w:lang w:eastAsia="pl-PL"/>
        </w:rPr>
        <w:t>dla dostaw realizowanych na rynek ogółu państw UE28</w:t>
      </w:r>
      <w:r w:rsidR="005F6FCE" w:rsidRPr="005F6FCE">
        <w:rPr>
          <w:noProof/>
          <w:spacing w:val="-2"/>
          <w:lang w:eastAsia="pl-PL"/>
        </w:rPr>
        <w:t xml:space="preserve"> </w:t>
      </w:r>
      <w:r w:rsidR="005F6FCE">
        <w:rPr>
          <w:noProof/>
          <w:spacing w:val="-2"/>
          <w:lang w:eastAsia="pl-PL"/>
        </w:rPr>
        <w:t>w okresie 1995-2015</w:t>
      </w:r>
      <w:r w:rsidRPr="004C1206">
        <w:rPr>
          <w:noProof/>
          <w:spacing w:val="-2"/>
          <w:lang w:eastAsia="pl-PL"/>
        </w:rPr>
        <w:t xml:space="preserve">. </w:t>
      </w:r>
      <w:r w:rsidR="00E52203">
        <w:rPr>
          <w:noProof/>
          <w:spacing w:val="-2"/>
          <w:lang w:eastAsia="pl-PL"/>
        </w:rPr>
        <w:t xml:space="preserve">W tabeli 1 dokonano zestawienia struktury eksportu państw UE na rynek unijny </w:t>
      </w:r>
      <w:r w:rsidR="00E277EF">
        <w:rPr>
          <w:noProof/>
          <w:spacing w:val="-2"/>
          <w:lang w:eastAsia="pl-PL"/>
        </w:rPr>
        <w:t>na początku i końcu badanego okresu</w:t>
      </w:r>
      <w:r w:rsidR="00E52203">
        <w:rPr>
          <w:noProof/>
          <w:spacing w:val="-2"/>
          <w:lang w:eastAsia="pl-PL"/>
        </w:rPr>
        <w:t xml:space="preserve">. </w:t>
      </w:r>
    </w:p>
    <w:p w:rsidR="002061E4" w:rsidRDefault="002061E4" w:rsidP="008B3204">
      <w:pPr>
        <w:contextualSpacing/>
        <w:jc w:val="both"/>
        <w:rPr>
          <w:noProof/>
          <w:spacing w:val="-2"/>
          <w:lang w:eastAsia="pl-PL"/>
        </w:rPr>
      </w:pPr>
    </w:p>
    <w:p w:rsidR="002061E4" w:rsidRDefault="002061E4" w:rsidP="008B3204">
      <w:pPr>
        <w:contextualSpacing/>
        <w:jc w:val="both"/>
        <w:rPr>
          <w:noProof/>
          <w:spacing w:val="-2"/>
          <w:lang w:eastAsia="pl-PL"/>
        </w:rPr>
      </w:pPr>
      <w:r>
        <w:rPr>
          <w:noProof/>
          <w:spacing w:val="-2"/>
          <w:lang w:eastAsia="pl-PL"/>
        </w:rPr>
        <w:t>Tabela 1. Struktura towarowa eksportu państw UE28 na rynek unijny z uwzględneniem intensywności wykorzystania czynników wytwórczych w latach 1995 i 2015</w:t>
      </w:r>
    </w:p>
    <w:tbl>
      <w:tblPr>
        <w:tblW w:w="6424" w:type="dxa"/>
        <w:tblInd w:w="57" w:type="dxa"/>
        <w:tblCellMar>
          <w:left w:w="70" w:type="dxa"/>
          <w:right w:w="70" w:type="dxa"/>
        </w:tblCellMar>
        <w:tblLook w:val="04A0"/>
      </w:tblPr>
      <w:tblGrid>
        <w:gridCol w:w="1151"/>
        <w:gridCol w:w="490"/>
        <w:gridCol w:w="490"/>
        <w:gridCol w:w="490"/>
        <w:gridCol w:w="490"/>
        <w:gridCol w:w="490"/>
        <w:gridCol w:w="590"/>
        <w:gridCol w:w="490"/>
        <w:gridCol w:w="490"/>
        <w:gridCol w:w="490"/>
        <w:gridCol w:w="490"/>
        <w:gridCol w:w="490"/>
        <w:gridCol w:w="590"/>
      </w:tblGrid>
      <w:tr w:rsidR="002061E4" w:rsidRPr="002061E4" w:rsidTr="002061E4">
        <w:trPr>
          <w:trHeight w:val="255"/>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Kraj</w:t>
            </w:r>
          </w:p>
        </w:tc>
        <w:tc>
          <w:tcPr>
            <w:tcW w:w="2662" w:type="dxa"/>
            <w:gridSpan w:val="6"/>
            <w:tcBorders>
              <w:top w:val="single" w:sz="4" w:space="0" w:color="auto"/>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1995</w:t>
            </w:r>
          </w:p>
        </w:tc>
        <w:tc>
          <w:tcPr>
            <w:tcW w:w="2662" w:type="dxa"/>
            <w:gridSpan w:val="6"/>
            <w:tcBorders>
              <w:top w:val="single" w:sz="4" w:space="0" w:color="auto"/>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2015</w:t>
            </w:r>
          </w:p>
        </w:tc>
      </w:tr>
      <w:tr w:rsidR="002061E4" w:rsidRPr="002061E4" w:rsidTr="002061E4">
        <w:trPr>
          <w:trHeight w:val="255"/>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2061E4" w:rsidRPr="002061E4" w:rsidRDefault="002061E4" w:rsidP="002061E4">
            <w:pPr>
              <w:spacing w:line="240" w:lineRule="auto"/>
              <w:rPr>
                <w:rFonts w:eastAsia="Times New Roman" w:cs="Times New Roman"/>
                <w:sz w:val="20"/>
                <w:szCs w:val="20"/>
                <w:lang w:eastAsia="pl-PL"/>
              </w:rPr>
            </w:pP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Austria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32,2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28,9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24,2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Belgia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34,5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15,5</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Bułgaria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29,2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9,5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19,3</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Chorwacja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42,1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6,1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22,3</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33,9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Cypr</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28,0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27,8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35,5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30,6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30,3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Czechy</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32,9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20,7</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9,1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32,1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21,7</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Dania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33,4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9,0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19,4</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30,6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23,3</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Estonia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29,8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39,2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27,5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17,7</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Finlandia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38,8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24,2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Francja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31,1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28,0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Grecja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34,8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39,2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7,7</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44,2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19,0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8,1</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Hiszpania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41,2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13,8</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34,5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Holandia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33,5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34,2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14,8</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Irlandia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41,5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9,0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53,0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14,1</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Litwa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44,2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31,1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44,0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24,4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9,2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Luksemburg</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30,7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35,5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39,5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Łotwa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42,6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35,9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36,5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Malta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24,6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62,9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19,9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6,1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31,0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Niemcy</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19,9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28,2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29,8</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27,9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28,3</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Polska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39,4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14,5</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Portugalia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36,1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13,7</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Rumunia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56,3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29,6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7,1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28,2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Słowacja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27,6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9,0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36,9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16,9</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Słowenia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4,9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39,9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28,3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6,6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34,4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20,6</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Szwecja</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13,3</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23,0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24,2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20,3</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proofErr w:type="spellStart"/>
            <w:r w:rsidRPr="002061E4">
              <w:rPr>
                <w:rFonts w:eastAsia="Times New Roman" w:cs="Times New Roman"/>
                <w:sz w:val="20"/>
                <w:szCs w:val="20"/>
                <w:lang w:eastAsia="pl-PL"/>
              </w:rPr>
              <w:t>W.Brytania</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14,6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16,8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18,8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22,4</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Węgry</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25,0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29,1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15,8</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19,0</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11,1</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13,0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26,5</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17,7</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31,7</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r w:rsidR="002061E4" w:rsidRPr="002061E4" w:rsidTr="002061E4">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rPr>
                <w:rFonts w:eastAsia="Times New Roman" w:cs="Times New Roman"/>
                <w:sz w:val="20"/>
                <w:szCs w:val="20"/>
                <w:lang w:eastAsia="pl-PL"/>
              </w:rPr>
            </w:pPr>
            <w:r w:rsidRPr="002061E4">
              <w:rPr>
                <w:rFonts w:eastAsia="Times New Roman" w:cs="Times New Roman"/>
                <w:sz w:val="20"/>
                <w:szCs w:val="20"/>
                <w:lang w:eastAsia="pl-PL"/>
              </w:rPr>
              <w:t>Włochy</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8,0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38,0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20,2</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9,0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24,7</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11,6</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27,4</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21,9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12,9</w:t>
            </w:r>
          </w:p>
        </w:tc>
        <w:tc>
          <w:tcPr>
            <w:tcW w:w="425"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26,2</w:t>
            </w:r>
          </w:p>
        </w:tc>
        <w:tc>
          <w:tcPr>
            <w:tcW w:w="537" w:type="dxa"/>
            <w:tcBorders>
              <w:top w:val="nil"/>
              <w:left w:val="nil"/>
              <w:bottom w:val="single" w:sz="4" w:space="0" w:color="auto"/>
              <w:right w:val="single" w:sz="4" w:space="0" w:color="auto"/>
            </w:tcBorders>
            <w:shd w:val="clear" w:color="auto" w:fill="auto"/>
            <w:noWrap/>
            <w:vAlign w:val="bottom"/>
            <w:hideMark/>
          </w:tcPr>
          <w:p w:rsidR="002061E4" w:rsidRPr="002061E4" w:rsidRDefault="002061E4" w:rsidP="002061E4">
            <w:pPr>
              <w:spacing w:line="240" w:lineRule="auto"/>
              <w:jc w:val="center"/>
              <w:rPr>
                <w:rFonts w:eastAsia="Times New Roman" w:cs="Times New Roman"/>
                <w:sz w:val="20"/>
                <w:szCs w:val="20"/>
                <w:lang w:eastAsia="pl-PL"/>
              </w:rPr>
            </w:pPr>
            <w:r w:rsidRPr="002061E4">
              <w:rPr>
                <w:rFonts w:eastAsia="Times New Roman" w:cs="Times New Roman"/>
                <w:sz w:val="20"/>
                <w:szCs w:val="20"/>
                <w:lang w:eastAsia="pl-PL"/>
              </w:rPr>
              <w:t>100,0</w:t>
            </w:r>
          </w:p>
        </w:tc>
      </w:tr>
    </w:tbl>
    <w:p w:rsidR="002061E4" w:rsidRPr="002061E4" w:rsidRDefault="002061E4" w:rsidP="002061E4">
      <w:pPr>
        <w:spacing w:line="240" w:lineRule="auto"/>
        <w:contextualSpacing/>
        <w:jc w:val="both"/>
        <w:rPr>
          <w:noProof/>
          <w:spacing w:val="-2"/>
          <w:sz w:val="20"/>
          <w:szCs w:val="20"/>
          <w:lang w:eastAsia="pl-PL"/>
        </w:rPr>
      </w:pPr>
      <w:r w:rsidRPr="002061E4">
        <w:rPr>
          <w:noProof/>
          <w:spacing w:val="-2"/>
          <w:sz w:val="20"/>
          <w:szCs w:val="20"/>
          <w:lang w:eastAsia="pl-PL"/>
        </w:rPr>
        <w:t>Kolumna 1- wyroby surowcochłonne; kolumna 2 – wyroby pracochłonne, kolumna 3 – wyroby kapitałochłonne; kolumna 4 – wyroby intensywne technologicznie łatwe do imitacji; kolumna 5 – wyroby intensywne technologicznie trrudne do imitacji.</w:t>
      </w:r>
    </w:p>
    <w:p w:rsidR="00E52203" w:rsidRPr="002061E4" w:rsidRDefault="002061E4" w:rsidP="002061E4">
      <w:pPr>
        <w:spacing w:line="240" w:lineRule="auto"/>
        <w:contextualSpacing/>
        <w:jc w:val="both"/>
        <w:rPr>
          <w:noProof/>
          <w:spacing w:val="-2"/>
          <w:sz w:val="20"/>
          <w:szCs w:val="20"/>
          <w:lang w:eastAsia="pl-PL"/>
        </w:rPr>
      </w:pPr>
      <w:r w:rsidRPr="002061E4">
        <w:rPr>
          <w:noProof/>
          <w:spacing w:val="-2"/>
          <w:sz w:val="20"/>
          <w:szCs w:val="20"/>
          <w:lang w:eastAsia="pl-PL"/>
        </w:rPr>
        <w:t>Źródło: Obliczenia własne na podstawie (UNCTAD).</w:t>
      </w:r>
    </w:p>
    <w:p w:rsidR="00E52203" w:rsidRDefault="00E52203" w:rsidP="008B3204">
      <w:pPr>
        <w:contextualSpacing/>
        <w:jc w:val="both"/>
        <w:rPr>
          <w:noProof/>
          <w:spacing w:val="-2"/>
          <w:lang w:eastAsia="pl-PL"/>
        </w:rPr>
      </w:pPr>
    </w:p>
    <w:p w:rsidR="00502FA5" w:rsidRDefault="007E17DE" w:rsidP="00502FA5">
      <w:pPr>
        <w:contextualSpacing/>
        <w:jc w:val="both"/>
        <w:rPr>
          <w:noProof/>
          <w:spacing w:val="-2"/>
          <w:lang w:eastAsia="pl-PL"/>
        </w:rPr>
      </w:pPr>
      <w:r>
        <w:rPr>
          <w:noProof/>
          <w:spacing w:val="-2"/>
          <w:lang w:eastAsia="pl-PL"/>
        </w:rPr>
        <w:t xml:space="preserve">Zestawienie to wskazuje na wysoki poziom zróżnicowania intensywności poszczególnych czynników wytwórczych w strukturze towarowej eksportu państw UE realizowanego na rynek </w:t>
      </w:r>
      <w:r>
        <w:rPr>
          <w:noProof/>
          <w:spacing w:val="-2"/>
          <w:lang w:eastAsia="pl-PL"/>
        </w:rPr>
        <w:lastRenderedPageBreak/>
        <w:t>unijny. Z jednej strony wyróżnić można wśród nich kraje, w których strukturze eksportu dominują wyroby surowcochłonne,</w:t>
      </w:r>
      <w:r w:rsidR="00725E4B">
        <w:rPr>
          <w:noProof/>
          <w:spacing w:val="-2"/>
          <w:lang w:eastAsia="pl-PL"/>
        </w:rPr>
        <w:t xml:space="preserve"> w innych na produkty te przypada najmniejsza część wywozu. To samo dotyczy pozostałych kategorii produktów. </w:t>
      </w:r>
    </w:p>
    <w:p w:rsidR="008817C8" w:rsidRDefault="008817C8" w:rsidP="00C45B31">
      <w:pPr>
        <w:ind w:firstLine="708"/>
        <w:contextualSpacing/>
        <w:jc w:val="both"/>
        <w:rPr>
          <w:noProof/>
          <w:spacing w:val="-2"/>
          <w:lang w:eastAsia="pl-PL"/>
        </w:rPr>
      </w:pPr>
      <w:r>
        <w:rPr>
          <w:noProof/>
          <w:spacing w:val="-2"/>
          <w:lang w:eastAsia="pl-PL"/>
        </w:rPr>
        <w:t xml:space="preserve">Wydaje się jednak, iż zasadnym jest prowadzenie analizy struktury eksportu w dostawach na konkretne rynki zbytu, </w:t>
      </w:r>
      <w:r w:rsidR="007152EE">
        <w:rPr>
          <w:noProof/>
          <w:spacing w:val="-2"/>
          <w:lang w:eastAsia="pl-PL"/>
        </w:rPr>
        <w:t>co uwzględnia specyfikę dwustronnych stosunków handlowych, które choć realizowane są w ramach swobody przepływu towarów i czynników wytwórczych, ich kształt i rozmiary warunkowane są zindywidualizowanymi determinantami.</w:t>
      </w:r>
    </w:p>
    <w:p w:rsidR="007152EE" w:rsidRPr="004C1206" w:rsidRDefault="00681222" w:rsidP="00C45B31">
      <w:pPr>
        <w:ind w:firstLine="708"/>
        <w:contextualSpacing/>
        <w:jc w:val="both"/>
        <w:rPr>
          <w:noProof/>
          <w:spacing w:val="-2"/>
          <w:lang w:eastAsia="pl-PL"/>
        </w:rPr>
      </w:pPr>
      <w:r>
        <w:rPr>
          <w:noProof/>
          <w:spacing w:val="-2"/>
          <w:lang w:eastAsia="pl-PL"/>
        </w:rPr>
        <w:t xml:space="preserve">Dla potwierdzenia potrzeby prowadzenia tego typu badań, </w:t>
      </w:r>
      <w:r w:rsidR="00FA15FD">
        <w:rPr>
          <w:noProof/>
          <w:spacing w:val="-2"/>
          <w:lang w:eastAsia="pl-PL"/>
        </w:rPr>
        <w:t>dokonano analizy porównawczej struktury eksportu</w:t>
      </w:r>
      <w:r w:rsidR="00D27210">
        <w:rPr>
          <w:noProof/>
          <w:spacing w:val="-2"/>
          <w:lang w:eastAsia="pl-PL"/>
        </w:rPr>
        <w:t>, z uwagi na intensywność wykorzystania czynników wytwórczych,</w:t>
      </w:r>
      <w:r w:rsidR="00FA15FD">
        <w:rPr>
          <w:noProof/>
          <w:spacing w:val="-2"/>
          <w:lang w:eastAsia="pl-PL"/>
        </w:rPr>
        <w:t xml:space="preserve"> każdego z państw UE28</w:t>
      </w:r>
      <w:r w:rsidR="00D27210">
        <w:rPr>
          <w:noProof/>
          <w:spacing w:val="-2"/>
          <w:lang w:eastAsia="pl-PL"/>
        </w:rPr>
        <w:t xml:space="preserve"> w dostawach na rynki wszystkich możliwych kombinacji par partnerów handlowych należących do Unii Europejskiej. W efekcie, dla każdego z krajów unijnych doko</w:t>
      </w:r>
      <w:r>
        <w:rPr>
          <w:noProof/>
          <w:spacing w:val="-2"/>
          <w:lang w:eastAsia="pl-PL"/>
        </w:rPr>
        <w:t>n</w:t>
      </w:r>
      <w:r w:rsidR="00D27210">
        <w:rPr>
          <w:noProof/>
          <w:spacing w:val="-2"/>
          <w:lang w:eastAsia="pl-PL"/>
        </w:rPr>
        <w:t xml:space="preserve">ano zestawienia i porównania struktury eksportu do 351 par krajów. Jako narzędzia analizy porównawczej struktur eksportu użyto </w:t>
      </w:r>
      <w:r w:rsidR="00842192">
        <w:rPr>
          <w:noProof/>
          <w:spacing w:val="-2"/>
          <w:lang w:eastAsia="pl-PL"/>
        </w:rPr>
        <w:t>współczynnika dywergencji Clarka, danego wzorem (Wydymus, 1988, s. 172):</w:t>
      </w:r>
    </w:p>
    <w:p w:rsidR="00842192" w:rsidRPr="00AF15D2" w:rsidRDefault="00842192" w:rsidP="00842192">
      <w:pPr>
        <w:ind w:firstLine="284"/>
        <w:jc w:val="both"/>
        <w:rPr>
          <w:rFonts w:cs="Times New Roman"/>
        </w:rPr>
      </w:pPr>
    </w:p>
    <w:p w:rsidR="00842192" w:rsidRPr="00AF15D2" w:rsidRDefault="00A139A3" w:rsidP="00842192">
      <w:pPr>
        <w:jc w:val="center"/>
        <w:rPr>
          <w:rFonts w:eastAsiaTheme="minorEastAsia" w:cs="Times New Roman"/>
        </w:rPr>
      </w:p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il</m:t>
            </m:r>
          </m:sub>
        </m:sSub>
        <m:r>
          <w:rPr>
            <w:rFonts w:ascii="Cambria Math" w:cs="Times New Roman"/>
          </w:rPr>
          <m:t>=</m:t>
        </m:r>
        <m:rad>
          <m:radPr>
            <m:degHide m:val="on"/>
            <m:ctrlPr>
              <w:rPr>
                <w:rFonts w:ascii="Cambria Math" w:hAnsi="Cambria Math" w:cs="Times New Roman"/>
                <w:i/>
              </w:rPr>
            </m:ctrlPr>
          </m:radPr>
          <m:deg/>
          <m:e>
            <m:f>
              <m:fPr>
                <m:ctrlPr>
                  <w:rPr>
                    <w:rFonts w:ascii="Cambria Math" w:hAnsi="Cambria Math" w:cs="Times New Roman"/>
                    <w:i/>
                  </w:rPr>
                </m:ctrlPr>
              </m:fPr>
              <m:num>
                <m:r>
                  <w:rPr>
                    <w:rFonts w:ascii="Cambria Math" w:cs="Times New Roman"/>
                  </w:rPr>
                  <m:t>1</m:t>
                </m:r>
              </m:num>
              <m:den>
                <m:r>
                  <w:rPr>
                    <w:rFonts w:ascii="Cambria Math" w:hAnsi="Cambria Math" w:cs="Times New Roman"/>
                  </w:rPr>
                  <m:t>m</m:t>
                </m:r>
              </m:den>
            </m:f>
            <m:nary>
              <m:naryPr>
                <m:chr m:val="∑"/>
                <m:limLoc m:val="undOvr"/>
                <m:ctrlPr>
                  <w:rPr>
                    <w:rFonts w:ascii="Cambria Math" w:hAnsi="Cambria Math" w:cs="Times New Roman"/>
                    <w:i/>
                  </w:rPr>
                </m:ctrlPr>
              </m:naryPr>
              <m:sub>
                <m:r>
                  <w:rPr>
                    <w:rFonts w:ascii="Cambria Math" w:hAnsi="Cambria Math" w:cs="Times New Roman"/>
                  </w:rPr>
                  <m:t>j</m:t>
                </m:r>
                <m:r>
                  <w:rPr>
                    <w:rFonts w:ascii="Cambria Math" w:cs="Times New Roman"/>
                  </w:rPr>
                  <m:t>=1</m:t>
                </m:r>
              </m:sub>
              <m:sup>
                <m:r>
                  <w:rPr>
                    <w:rFonts w:ascii="Cambria Math" w:hAnsi="Cambria Math" w:cs="Times New Roman"/>
                  </w:rPr>
                  <m:t>m</m:t>
                </m:r>
              </m:sup>
              <m:e>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lj</m:t>
                                </m:r>
                              </m:sub>
                            </m:sSub>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lj</m:t>
                                </m:r>
                              </m:sub>
                            </m:sSub>
                          </m:den>
                        </m:f>
                      </m:e>
                    </m:d>
                  </m:e>
                  <m:sup>
                    <m:r>
                      <w:rPr>
                        <w:rFonts w:ascii="Cambria Math" w:cs="Times New Roman"/>
                      </w:rPr>
                      <m:t>2</m:t>
                    </m:r>
                  </m:sup>
                </m:sSup>
              </m:e>
            </m:nary>
          </m:e>
        </m:rad>
      </m:oMath>
      <w:r w:rsidR="00842192">
        <w:rPr>
          <w:rFonts w:eastAsiaTheme="minorEastAsia" w:cs="Times New Roman"/>
        </w:rPr>
        <w:t xml:space="preserve"> </w:t>
      </w:r>
      <w:r w:rsidR="00842192">
        <w:rPr>
          <w:rFonts w:eastAsiaTheme="minorEastAsia" w:cs="Times New Roman"/>
        </w:rPr>
        <w:tab/>
        <w:t>(1)</w:t>
      </w:r>
    </w:p>
    <w:p w:rsidR="00842192" w:rsidRPr="00AF15D2" w:rsidRDefault="00842192" w:rsidP="00842192">
      <w:pPr>
        <w:jc w:val="both"/>
        <w:rPr>
          <w:rFonts w:eastAsiaTheme="minorEastAsia" w:cs="Times New Roman"/>
        </w:rPr>
      </w:pPr>
      <w:r w:rsidRPr="00AF15D2">
        <w:rPr>
          <w:rFonts w:eastAsiaTheme="minorEastAsia" w:cs="Times New Roman"/>
        </w:rPr>
        <w:t>gdzie:</w:t>
      </w:r>
    </w:p>
    <w:p w:rsidR="00842192" w:rsidRPr="00AF15D2" w:rsidRDefault="00842192" w:rsidP="00842192">
      <w:pPr>
        <w:spacing w:line="276" w:lineRule="auto"/>
        <w:jc w:val="both"/>
        <w:rPr>
          <w:rFonts w:eastAsiaTheme="minorEastAsia" w:cs="Times New Roman"/>
        </w:rPr>
      </w:pPr>
      <w:r w:rsidRPr="00AF15D2">
        <w:rPr>
          <w:rFonts w:eastAsiaTheme="minorEastAsia" w:cs="Times New Roman"/>
          <w:i/>
        </w:rPr>
        <w:t>m</w:t>
      </w:r>
      <w:r w:rsidRPr="00AF15D2">
        <w:rPr>
          <w:rFonts w:eastAsiaTheme="minorEastAsia" w:cs="Times New Roman"/>
        </w:rPr>
        <w:t xml:space="preserve"> - liczba grup towarowych wyszczególnionych do analizy</w:t>
      </w:r>
    </w:p>
    <w:p w:rsidR="00842192" w:rsidRPr="00AF15D2" w:rsidRDefault="00842192" w:rsidP="00842192">
      <w:pPr>
        <w:spacing w:line="276" w:lineRule="auto"/>
        <w:jc w:val="both"/>
        <w:rPr>
          <w:rFonts w:eastAsiaTheme="minorEastAsia" w:cs="Times New Roman"/>
        </w:rPr>
      </w:pPr>
      <w:r w:rsidRPr="00AF15D2">
        <w:rPr>
          <w:rFonts w:eastAsiaTheme="minorEastAsia" w:cs="Times New Roman"/>
          <w:i/>
        </w:rPr>
        <w:t>i</w:t>
      </w:r>
      <w:r>
        <w:rPr>
          <w:rFonts w:eastAsiaTheme="minorEastAsia" w:cs="Times New Roman"/>
          <w:i/>
        </w:rPr>
        <w:t>, l</w:t>
      </w:r>
      <w:r w:rsidRPr="00AF15D2">
        <w:rPr>
          <w:rFonts w:eastAsiaTheme="minorEastAsia" w:cs="Times New Roman"/>
        </w:rPr>
        <w:t xml:space="preserve"> - kierunek eksportu</w:t>
      </w:r>
    </w:p>
    <w:p w:rsidR="00842192" w:rsidRPr="00AF15D2" w:rsidRDefault="00842192" w:rsidP="00842192">
      <w:pPr>
        <w:spacing w:line="276" w:lineRule="auto"/>
        <w:jc w:val="both"/>
        <w:rPr>
          <w:rFonts w:eastAsiaTheme="minorEastAsia" w:cs="Times New Roman"/>
        </w:rPr>
      </w:pPr>
      <w:r w:rsidRPr="00AF15D2">
        <w:rPr>
          <w:rFonts w:eastAsiaTheme="minorEastAsia" w:cs="Times New Roman"/>
          <w:i/>
        </w:rPr>
        <w:t>j</w:t>
      </w:r>
      <w:r w:rsidRPr="00AF15D2">
        <w:rPr>
          <w:rFonts w:eastAsiaTheme="minorEastAsia" w:cs="Times New Roman"/>
        </w:rPr>
        <w:t xml:space="preserve"> - poszczególne grupy towarowe</w:t>
      </w:r>
    </w:p>
    <w:p w:rsidR="00842192" w:rsidRPr="00AF15D2" w:rsidRDefault="00842192" w:rsidP="00842192">
      <w:pPr>
        <w:spacing w:line="276" w:lineRule="auto"/>
        <w:jc w:val="both"/>
        <w:rPr>
          <w:rFonts w:eastAsiaTheme="minorEastAsia" w:cs="Times New Roman"/>
        </w:rPr>
      </w:pPr>
      <w:r w:rsidRPr="00AF15D2">
        <w:rPr>
          <w:rFonts w:eastAsiaTheme="minorEastAsia" w:cs="Times New Roman"/>
          <w:i/>
        </w:rPr>
        <w:t>q</w:t>
      </w:r>
      <w:r w:rsidRPr="00AF15D2">
        <w:rPr>
          <w:rFonts w:eastAsiaTheme="minorEastAsia" w:cs="Times New Roman"/>
        </w:rPr>
        <w:t xml:space="preserve"> </w:t>
      </w:r>
      <w:r>
        <w:rPr>
          <w:rFonts w:eastAsiaTheme="minorEastAsia" w:cs="Times New Roman"/>
        </w:rPr>
        <w:t>- udział produktów danej grupy</w:t>
      </w:r>
      <w:r w:rsidRPr="00AF15D2">
        <w:rPr>
          <w:rFonts w:eastAsiaTheme="minorEastAsia" w:cs="Times New Roman"/>
        </w:rPr>
        <w:t xml:space="preserve"> w strukturze eksportu na dany rynek</w:t>
      </w:r>
    </w:p>
    <w:p w:rsidR="008B3204" w:rsidRDefault="008B3204" w:rsidP="008B3204">
      <w:pPr>
        <w:jc w:val="both"/>
      </w:pPr>
    </w:p>
    <w:p w:rsidR="008B3204" w:rsidRDefault="00681222" w:rsidP="00315C5D">
      <w:pPr>
        <w:jc w:val="both"/>
      </w:pPr>
      <w:r w:rsidRPr="00AF15D2">
        <w:rPr>
          <w:rFonts w:cs="Times New Roman"/>
        </w:rPr>
        <w:t>Tak określony współczynnik przyjmuje wartości z zakresu od 0 do 1</w:t>
      </w:r>
      <w:r>
        <w:rPr>
          <w:rFonts w:cs="Times New Roman"/>
        </w:rPr>
        <w:t>,</w:t>
      </w:r>
      <w:r w:rsidRPr="00681222">
        <w:rPr>
          <w:rFonts w:cs="Times New Roman"/>
        </w:rPr>
        <w:t xml:space="preserve"> </w:t>
      </w:r>
      <w:r>
        <w:rPr>
          <w:rFonts w:cs="Times New Roman"/>
        </w:rPr>
        <w:t>przy czym jego</w:t>
      </w:r>
      <w:r w:rsidRPr="00AF15D2">
        <w:rPr>
          <w:rFonts w:cs="Times New Roman"/>
        </w:rPr>
        <w:t xml:space="preserve"> wartość równa zero oznacza, że porównywane struktury są identyczne, a wartość równa jeden oznacza, że są całkowicie różne</w:t>
      </w:r>
      <w:r>
        <w:rPr>
          <w:rFonts w:cs="Times New Roman"/>
        </w:rPr>
        <w:t>.</w:t>
      </w:r>
      <w:r w:rsidR="00A21907">
        <w:rPr>
          <w:rFonts w:cs="Times New Roman"/>
        </w:rPr>
        <w:t xml:space="preserve"> Uśrednione dla wszystkich obserwacji (351) wartości współczynnika w </w:t>
      </w:r>
      <w:r w:rsidR="009864F3">
        <w:rPr>
          <w:rFonts w:cs="Times New Roman"/>
        </w:rPr>
        <w:t xml:space="preserve">strukturze eksportu poszczególnych państw </w:t>
      </w:r>
      <w:r w:rsidR="00A21907">
        <w:rPr>
          <w:rFonts w:cs="Times New Roman"/>
        </w:rPr>
        <w:t xml:space="preserve">UE </w:t>
      </w:r>
      <w:r w:rsidR="009864F3">
        <w:rPr>
          <w:rFonts w:cs="Times New Roman"/>
        </w:rPr>
        <w:t xml:space="preserve">w 2015 roku </w:t>
      </w:r>
      <w:r w:rsidR="00A21907">
        <w:rPr>
          <w:rFonts w:cs="Times New Roman"/>
        </w:rPr>
        <w:t>przedstawiono na rysunku 1.</w:t>
      </w:r>
    </w:p>
    <w:p w:rsidR="008B3204" w:rsidRDefault="008B3204" w:rsidP="00315C5D">
      <w:pPr>
        <w:jc w:val="both"/>
      </w:pPr>
    </w:p>
    <w:p w:rsidR="008B3204" w:rsidRDefault="009864F3" w:rsidP="00315C5D">
      <w:pPr>
        <w:jc w:val="both"/>
      </w:pPr>
      <w:r w:rsidRPr="009864F3">
        <w:rPr>
          <w:noProof/>
          <w:lang w:eastAsia="pl-PL"/>
        </w:rPr>
        <w:lastRenderedPageBreak/>
        <w:drawing>
          <wp:inline distT="0" distB="0" distL="0" distR="0">
            <wp:extent cx="4572000" cy="27432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64F3" w:rsidRDefault="009864F3" w:rsidP="009864F3">
      <w:pPr>
        <w:spacing w:line="240" w:lineRule="auto"/>
        <w:jc w:val="both"/>
      </w:pPr>
      <w:r>
        <w:t>Rysunek 1. Średnie zróżnicowanie struktury eksportu państw UE na rynki ich unijnych partnerów handlowych w 2015 roku</w:t>
      </w:r>
    </w:p>
    <w:p w:rsidR="009864F3" w:rsidRPr="002061E4" w:rsidRDefault="009864F3" w:rsidP="009864F3">
      <w:pPr>
        <w:spacing w:line="240" w:lineRule="auto"/>
        <w:contextualSpacing/>
        <w:jc w:val="both"/>
        <w:rPr>
          <w:noProof/>
          <w:spacing w:val="-2"/>
          <w:sz w:val="20"/>
          <w:szCs w:val="20"/>
          <w:lang w:eastAsia="pl-PL"/>
        </w:rPr>
      </w:pPr>
      <w:r w:rsidRPr="002061E4">
        <w:rPr>
          <w:noProof/>
          <w:spacing w:val="-2"/>
          <w:sz w:val="20"/>
          <w:szCs w:val="20"/>
          <w:lang w:eastAsia="pl-PL"/>
        </w:rPr>
        <w:t>Źródło: Obliczenia własne na podstawie (UNCTAD).</w:t>
      </w:r>
    </w:p>
    <w:p w:rsidR="009864F3" w:rsidRDefault="009864F3" w:rsidP="00315C5D">
      <w:pPr>
        <w:jc w:val="both"/>
      </w:pPr>
    </w:p>
    <w:p w:rsidR="00947DA5" w:rsidRDefault="00947DA5" w:rsidP="00315C5D">
      <w:pPr>
        <w:jc w:val="both"/>
      </w:pPr>
      <w:r>
        <w:t>Uzyskane wartości wskazują na to, iż intensywność wykorzystania czynników wytwórczych w eksporcie na p</w:t>
      </w:r>
      <w:r w:rsidR="00BA2413">
        <w:t>oszczególne rynki, jest ró</w:t>
      </w:r>
      <w:r w:rsidR="00B96CFE">
        <w:t>żna. Dotyczy to także krajów znajdujących się na zbliżonym poziomie rozwoju gospodarczego</w:t>
      </w:r>
      <w:r w:rsidR="008A4B7E">
        <w:t xml:space="preserve">, dysponujących podobnym zasobem czynników wytwórczych. </w:t>
      </w:r>
      <w:r w:rsidR="00E041CA">
        <w:t xml:space="preserve">A </w:t>
      </w:r>
      <w:r>
        <w:t xml:space="preserve">zatem </w:t>
      </w:r>
      <w:r w:rsidR="00E041CA">
        <w:t xml:space="preserve">struktura ich eksportu </w:t>
      </w:r>
      <w:r>
        <w:t>jedynie w ograniczonym</w:t>
      </w:r>
      <w:r w:rsidR="00E041CA">
        <w:t xml:space="preserve"> zakresie determinowana jest</w:t>
      </w:r>
      <w:r>
        <w:t xml:space="preserve"> zasobnością kraju w wybrane czynniki. Gdyby było inaczej, struktura eksportu na </w:t>
      </w:r>
      <w:r w:rsidR="008A4B7E">
        <w:t>te</w:t>
      </w:r>
      <w:r>
        <w:t xml:space="preserve"> </w:t>
      </w:r>
      <w:r w:rsidR="00E041CA">
        <w:t xml:space="preserve">same </w:t>
      </w:r>
      <w:r>
        <w:t xml:space="preserve">rynki byłaby zbliżona, a wartość współczynnika dywergencji byłaby bliska zera. Tymczasem w 2015 roku jej średni poziom nie przekroczył 0,2 jedynie w odniesieniu do struktury eksportu </w:t>
      </w:r>
      <w:r w:rsidR="00CE55C2">
        <w:t>Holandii i Niemiec, a w przypadku Cypru i Malty był nawet wyższy od 0,5. Można zatem wnioskować, iż w bilateralnych stosunkach handlowych na intensywność wykorzystania czynników wytwórczych wpływ mają inne czynniki lub ich siła oddziaływania nie jest identyczna.</w:t>
      </w:r>
    </w:p>
    <w:p w:rsidR="00DD55A0" w:rsidRDefault="00DD55A0" w:rsidP="00315C5D">
      <w:pPr>
        <w:jc w:val="both"/>
        <w:rPr>
          <w:rFonts w:cs="Times New Roman"/>
          <w:b/>
          <w:szCs w:val="24"/>
        </w:rPr>
      </w:pPr>
    </w:p>
    <w:p w:rsidR="002B38C9" w:rsidRDefault="00DD55A0" w:rsidP="00315C5D">
      <w:pPr>
        <w:jc w:val="both"/>
      </w:pPr>
      <w:r>
        <w:rPr>
          <w:rFonts w:cs="Times New Roman"/>
          <w:b/>
          <w:szCs w:val="24"/>
        </w:rPr>
        <w:t>Model grawitacyjny handlu zagranicznego dla eksportu państw Unii Europejskiej</w:t>
      </w:r>
    </w:p>
    <w:p w:rsidR="00C00F26" w:rsidRDefault="002B38C9" w:rsidP="00DD55A0">
      <w:pPr>
        <w:jc w:val="both"/>
        <w:rPr>
          <w:spacing w:val="2"/>
        </w:rPr>
      </w:pPr>
      <w:r>
        <w:t>Na kolejnym etapie badania d</w:t>
      </w:r>
      <w:r w:rsidR="00D05B5A">
        <w:t>okonano analizy eksportu wszystkich państw UE28 do każdego z krajów ugrupowania, wyróżniając przy tym w strukturze obrotów grupy produktów z uwagi na intensywność wykorzystania czynników wytwórczych w okresie 1995-2015.</w:t>
      </w:r>
      <w:r w:rsidR="005D3BCD">
        <w:t xml:space="preserve"> </w:t>
      </w:r>
      <w:r w:rsidR="008050E5">
        <w:rPr>
          <w:spacing w:val="2"/>
        </w:rPr>
        <w:t>W badanym okresie (21 lat) dla każdej z grup produktów otrzymano zatem 15876 obserwacji, stanowiących kombinację par krajów UE28.</w:t>
      </w:r>
    </w:p>
    <w:p w:rsidR="00C00F26" w:rsidRDefault="00C00F26" w:rsidP="00315C5D">
      <w:pPr>
        <w:jc w:val="both"/>
        <w:rPr>
          <w:spacing w:val="2"/>
        </w:rPr>
      </w:pPr>
      <w:r>
        <w:rPr>
          <w:spacing w:val="2"/>
        </w:rPr>
        <w:t>Dla potrzeb określenia odmienności czynników determinujących</w:t>
      </w:r>
      <w:r w:rsidR="000A06EF">
        <w:rPr>
          <w:spacing w:val="2"/>
        </w:rPr>
        <w:t xml:space="preserve"> wymianę handlową poszczególnymi grupami produktów, różniącymi się intensywnością wykorzystania </w:t>
      </w:r>
      <w:r w:rsidR="000A06EF">
        <w:rPr>
          <w:spacing w:val="2"/>
        </w:rPr>
        <w:lastRenderedPageBreak/>
        <w:t>czynników wytwórczych, wykorzystano model grawitacyjny handlu międzynarodowego</w:t>
      </w:r>
      <w:r w:rsidR="00E404EB">
        <w:rPr>
          <w:spacing w:val="2"/>
        </w:rPr>
        <w:t xml:space="preserve">. Jego koncepcję dla analiz międzynarodowych przepływów towarowych zaproponował </w:t>
      </w:r>
      <w:proofErr w:type="spellStart"/>
      <w:r w:rsidR="00E404EB">
        <w:rPr>
          <w:spacing w:val="2"/>
        </w:rPr>
        <w:t>Tinbergen</w:t>
      </w:r>
      <w:proofErr w:type="spellEnd"/>
      <w:r w:rsidR="00E404EB">
        <w:rPr>
          <w:spacing w:val="2"/>
        </w:rPr>
        <w:t xml:space="preserve"> (1962</w:t>
      </w:r>
      <w:r w:rsidR="00E6136D">
        <w:rPr>
          <w:spacing w:val="2"/>
        </w:rPr>
        <w:t xml:space="preserve">, s. </w:t>
      </w:r>
      <w:r w:rsidR="00DE41A6">
        <w:rPr>
          <w:spacing w:val="2"/>
        </w:rPr>
        <w:t>263-269</w:t>
      </w:r>
      <w:r w:rsidR="00E404EB">
        <w:rPr>
          <w:spacing w:val="2"/>
        </w:rPr>
        <w:t xml:space="preserve">), </w:t>
      </w:r>
      <w:r w:rsidR="00E6136D">
        <w:rPr>
          <w:spacing w:val="2"/>
        </w:rPr>
        <w:t>który odwołując się do prawa grawitacyjnego Newtona, założył, iż wartość wymiany handlowej pomiędzy dwoma krajami jest proporcjonalna do iloczynu dochodu tych krajów, a więc ich mas</w:t>
      </w:r>
      <w:r w:rsidR="00DE41A6">
        <w:rPr>
          <w:spacing w:val="2"/>
        </w:rPr>
        <w:t>, i odwrotnie proporcjonalna do dzielącej je odległości, która prz</w:t>
      </w:r>
      <w:r w:rsidR="0062737F">
        <w:rPr>
          <w:spacing w:val="2"/>
        </w:rPr>
        <w:t>ekłada się na koszty transportu, zmniejszające atrakcyjność wymiany handlowej.</w:t>
      </w:r>
      <w:r w:rsidR="00B96765">
        <w:rPr>
          <w:spacing w:val="2"/>
        </w:rPr>
        <w:t xml:space="preserve"> W wersji podstawowej równanie przyjęło postać</w:t>
      </w:r>
      <w:r w:rsidR="00C62277">
        <w:rPr>
          <w:spacing w:val="2"/>
        </w:rPr>
        <w:t xml:space="preserve"> (</w:t>
      </w:r>
      <w:proofErr w:type="spellStart"/>
      <w:r w:rsidR="00C62277">
        <w:rPr>
          <w:spacing w:val="2"/>
        </w:rPr>
        <w:t>Tinbergen</w:t>
      </w:r>
      <w:proofErr w:type="spellEnd"/>
      <w:r w:rsidR="00C62277">
        <w:rPr>
          <w:spacing w:val="2"/>
        </w:rPr>
        <w:t>, 1962, s. 264-265)</w:t>
      </w:r>
      <w:r w:rsidR="00B96765">
        <w:rPr>
          <w:spacing w:val="2"/>
        </w:rPr>
        <w:t>:</w:t>
      </w:r>
    </w:p>
    <w:p w:rsidR="00B96765" w:rsidRDefault="00A139A3" w:rsidP="0062737F">
      <w:pPr>
        <w:jc w:val="center"/>
        <w:rPr>
          <w:spacing w:val="2"/>
        </w:rPr>
      </w:pPr>
      <m:oMath>
        <m:sSub>
          <m:sSubPr>
            <m:ctrlPr>
              <w:rPr>
                <w:rFonts w:ascii="Cambria Math" w:hAnsi="Cambria Math"/>
                <w:i/>
                <w:spacing w:val="2"/>
              </w:rPr>
            </m:ctrlPr>
          </m:sSubPr>
          <m:e>
            <m:r>
              <w:rPr>
                <w:rFonts w:ascii="Cambria Math" w:hAnsi="Cambria Math"/>
                <w:spacing w:val="2"/>
              </w:rPr>
              <m:t>E</m:t>
            </m:r>
          </m:e>
          <m:sub>
            <m:r>
              <w:rPr>
                <w:rFonts w:ascii="Cambria Math" w:hAnsi="Cambria Math"/>
                <w:spacing w:val="2"/>
              </w:rPr>
              <m:t>ij</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0</m:t>
            </m:r>
          </m:sub>
        </m:sSub>
        <m:sSubSup>
          <m:sSubSupPr>
            <m:ctrlPr>
              <w:rPr>
                <w:rFonts w:ascii="Cambria Math" w:hAnsi="Cambria Math"/>
                <w:i/>
                <w:spacing w:val="2"/>
              </w:rPr>
            </m:ctrlPr>
          </m:sSubSupPr>
          <m:e>
            <m:r>
              <w:rPr>
                <w:rFonts w:ascii="Cambria Math" w:hAnsi="Cambria Math"/>
                <w:spacing w:val="2"/>
              </w:rPr>
              <m:t>Y</m:t>
            </m:r>
          </m:e>
          <m:sub>
            <m:r>
              <w:rPr>
                <w:rFonts w:ascii="Cambria Math" w:hAnsi="Cambria Math"/>
                <w:spacing w:val="2"/>
              </w:rPr>
              <m:t>i</m:t>
            </m:r>
          </m:sub>
          <m:sup>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1</m:t>
                </m:r>
              </m:sub>
            </m:sSub>
          </m:sup>
        </m:sSubSup>
        <m:sSubSup>
          <m:sSubSupPr>
            <m:ctrlPr>
              <w:rPr>
                <w:rFonts w:ascii="Cambria Math" w:hAnsi="Cambria Math"/>
                <w:i/>
                <w:spacing w:val="2"/>
              </w:rPr>
            </m:ctrlPr>
          </m:sSubSupPr>
          <m:e>
            <m:r>
              <w:rPr>
                <w:rFonts w:ascii="Cambria Math" w:hAnsi="Cambria Math"/>
                <w:spacing w:val="2"/>
              </w:rPr>
              <m:t>Y</m:t>
            </m:r>
          </m:e>
          <m:sub>
            <m:r>
              <w:rPr>
                <w:rFonts w:ascii="Cambria Math" w:hAnsi="Cambria Math"/>
                <w:spacing w:val="2"/>
              </w:rPr>
              <m:t>j</m:t>
            </m:r>
          </m:sub>
          <m:sup>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2</m:t>
                </m:r>
              </m:sub>
            </m:sSub>
          </m:sup>
        </m:sSubSup>
        <m:sSubSup>
          <m:sSubSupPr>
            <m:ctrlPr>
              <w:rPr>
                <w:rFonts w:ascii="Cambria Math" w:hAnsi="Cambria Math"/>
                <w:i/>
                <w:spacing w:val="2"/>
              </w:rPr>
            </m:ctrlPr>
          </m:sSubSupPr>
          <m:e>
            <m:r>
              <w:rPr>
                <w:rFonts w:ascii="Cambria Math" w:hAnsi="Cambria Math"/>
                <w:spacing w:val="2"/>
              </w:rPr>
              <m:t>D</m:t>
            </m:r>
          </m:e>
          <m:sub>
            <m:r>
              <w:rPr>
                <w:rFonts w:ascii="Cambria Math" w:hAnsi="Cambria Math"/>
                <w:spacing w:val="2"/>
              </w:rPr>
              <m:t>ij</m:t>
            </m:r>
          </m:sub>
          <m:sup>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3</m:t>
                </m:r>
              </m:sub>
            </m:sSub>
          </m:sup>
        </m:sSubSup>
      </m:oMath>
      <w:r w:rsidR="002B38C9">
        <w:rPr>
          <w:rFonts w:eastAsiaTheme="minorEastAsia"/>
          <w:spacing w:val="2"/>
        </w:rPr>
        <w:t xml:space="preserve"> </w:t>
      </w:r>
      <w:r w:rsidR="002B38C9">
        <w:rPr>
          <w:rFonts w:eastAsiaTheme="minorEastAsia"/>
          <w:spacing w:val="2"/>
        </w:rPr>
        <w:tab/>
      </w:r>
      <w:r w:rsidR="002B38C9">
        <w:rPr>
          <w:rFonts w:eastAsiaTheme="minorEastAsia"/>
          <w:spacing w:val="2"/>
        </w:rPr>
        <w:tab/>
        <w:t>(2</w:t>
      </w:r>
      <w:r w:rsidR="0062737F">
        <w:rPr>
          <w:rFonts w:eastAsiaTheme="minorEastAsia"/>
          <w:spacing w:val="2"/>
        </w:rPr>
        <w:t>)</w:t>
      </w:r>
    </w:p>
    <w:p w:rsidR="00222307" w:rsidRDefault="00B96765">
      <w:pPr>
        <w:rPr>
          <w:spacing w:val="2"/>
        </w:rPr>
      </w:pPr>
      <w:r>
        <w:rPr>
          <w:spacing w:val="2"/>
        </w:rPr>
        <w:t xml:space="preserve">lub po </w:t>
      </w:r>
      <w:r w:rsidR="00AD0C35">
        <w:rPr>
          <w:spacing w:val="2"/>
        </w:rPr>
        <w:t>zlinearyzowaniu, uzyskanemu w wyniku dwustronnego zlogarytmowania</w:t>
      </w:r>
      <w:r>
        <w:rPr>
          <w:spacing w:val="2"/>
        </w:rPr>
        <w:t>:</w:t>
      </w:r>
    </w:p>
    <w:p w:rsidR="00B96765" w:rsidRDefault="00B96765" w:rsidP="0062737F">
      <w:pPr>
        <w:jc w:val="center"/>
        <w:rPr>
          <w:rFonts w:eastAsiaTheme="minorEastAsia"/>
          <w:spacing w:val="2"/>
        </w:rPr>
      </w:pPr>
      <m:oMath>
        <m:r>
          <w:rPr>
            <w:rFonts w:ascii="Cambria Math" w:hAnsi="Cambria Math"/>
            <w:spacing w:val="2"/>
          </w:rPr>
          <m:t>log</m:t>
        </m:r>
        <m:sSub>
          <m:sSubPr>
            <m:ctrlPr>
              <w:rPr>
                <w:rFonts w:ascii="Cambria Math" w:hAnsi="Cambria Math"/>
                <w:i/>
                <w:spacing w:val="2"/>
              </w:rPr>
            </m:ctrlPr>
          </m:sSubPr>
          <m:e>
            <m:r>
              <w:rPr>
                <w:rFonts w:ascii="Cambria Math" w:hAnsi="Cambria Math"/>
                <w:spacing w:val="2"/>
              </w:rPr>
              <m:t>E</m:t>
            </m:r>
          </m:e>
          <m:sub>
            <m:r>
              <w:rPr>
                <w:rFonts w:ascii="Cambria Math" w:hAnsi="Cambria Math"/>
                <w:spacing w:val="2"/>
              </w:rPr>
              <m:t>ij</m:t>
            </m:r>
          </m:sub>
        </m:sSub>
        <m:r>
          <w:rPr>
            <w:rFonts w:ascii="Cambria Math" w:eastAsiaTheme="minorEastAsia" w:hAnsi="Cambria Math"/>
            <w:spacing w:val="2"/>
          </w:rPr>
          <m:t>=a'+</m:t>
        </m:r>
        <m:sSub>
          <m:sSubPr>
            <m:ctrlPr>
              <w:rPr>
                <w:rFonts w:ascii="Cambria Math" w:eastAsiaTheme="minorEastAsia" w:hAnsi="Cambria Math"/>
                <w:i/>
                <w:spacing w:val="2"/>
              </w:rPr>
            </m:ctrlPr>
          </m:sSubPr>
          <m:e>
            <m:r>
              <w:rPr>
                <w:rFonts w:ascii="Cambria Math" w:eastAsiaTheme="minorEastAsia" w:hAnsi="Cambria Math"/>
                <w:spacing w:val="2"/>
              </w:rPr>
              <m:t>a</m:t>
            </m:r>
          </m:e>
          <m:sub>
            <m:r>
              <w:rPr>
                <w:rFonts w:ascii="Cambria Math" w:eastAsiaTheme="minorEastAsia" w:hAnsi="Cambria Math"/>
                <w:spacing w:val="2"/>
              </w:rPr>
              <m:t>1</m:t>
            </m:r>
          </m:sub>
        </m:sSub>
        <m:r>
          <w:rPr>
            <w:rFonts w:ascii="Cambria Math" w:eastAsiaTheme="minorEastAsia" w:hAnsi="Cambria Math"/>
            <w:spacing w:val="2"/>
          </w:rPr>
          <m:t>log</m:t>
        </m:r>
        <m:sSub>
          <m:sSubPr>
            <m:ctrlPr>
              <w:rPr>
                <w:rFonts w:ascii="Cambria Math" w:eastAsiaTheme="minorEastAsia" w:hAnsi="Cambria Math"/>
                <w:i/>
                <w:spacing w:val="2"/>
              </w:rPr>
            </m:ctrlPr>
          </m:sSubPr>
          <m:e>
            <m:r>
              <w:rPr>
                <w:rFonts w:ascii="Cambria Math" w:eastAsiaTheme="minorEastAsia" w:hAnsi="Cambria Math"/>
                <w:spacing w:val="2"/>
              </w:rPr>
              <m:t>Y</m:t>
            </m:r>
          </m:e>
          <m:sub>
            <m:r>
              <w:rPr>
                <w:rFonts w:ascii="Cambria Math" w:eastAsiaTheme="minorEastAsia" w:hAnsi="Cambria Math"/>
                <w:spacing w:val="2"/>
              </w:rPr>
              <m:t>i</m:t>
            </m:r>
          </m:sub>
        </m:sSub>
        <m:r>
          <w:rPr>
            <w:rFonts w:ascii="Cambria Math" w:eastAsiaTheme="minorEastAsia" w:hAnsi="Cambria Math"/>
            <w:spacing w:val="2"/>
          </w:rPr>
          <m:t>+</m:t>
        </m:r>
        <m:sSub>
          <m:sSubPr>
            <m:ctrlPr>
              <w:rPr>
                <w:rFonts w:ascii="Cambria Math" w:eastAsiaTheme="minorEastAsia" w:hAnsi="Cambria Math"/>
                <w:i/>
                <w:spacing w:val="2"/>
              </w:rPr>
            </m:ctrlPr>
          </m:sSubPr>
          <m:e>
            <m:r>
              <w:rPr>
                <w:rFonts w:ascii="Cambria Math" w:eastAsiaTheme="minorEastAsia" w:hAnsi="Cambria Math"/>
                <w:spacing w:val="2"/>
              </w:rPr>
              <m:t>a</m:t>
            </m:r>
          </m:e>
          <m:sub>
            <m:r>
              <w:rPr>
                <w:rFonts w:ascii="Cambria Math" w:eastAsiaTheme="minorEastAsia" w:hAnsi="Cambria Math"/>
                <w:spacing w:val="2"/>
              </w:rPr>
              <m:t>2</m:t>
            </m:r>
          </m:sub>
        </m:sSub>
        <m:r>
          <w:rPr>
            <w:rFonts w:ascii="Cambria Math" w:eastAsiaTheme="minorEastAsia" w:hAnsi="Cambria Math"/>
            <w:spacing w:val="2"/>
          </w:rPr>
          <m:t>log</m:t>
        </m:r>
        <m:sSub>
          <m:sSubPr>
            <m:ctrlPr>
              <w:rPr>
                <w:rFonts w:ascii="Cambria Math" w:eastAsiaTheme="minorEastAsia" w:hAnsi="Cambria Math"/>
                <w:i/>
                <w:spacing w:val="2"/>
              </w:rPr>
            </m:ctrlPr>
          </m:sSubPr>
          <m:e>
            <m:r>
              <w:rPr>
                <w:rFonts w:ascii="Cambria Math" w:eastAsiaTheme="minorEastAsia" w:hAnsi="Cambria Math"/>
                <w:spacing w:val="2"/>
              </w:rPr>
              <m:t>Y</m:t>
            </m:r>
          </m:e>
          <m:sub>
            <m:r>
              <w:rPr>
                <w:rFonts w:ascii="Cambria Math" w:eastAsiaTheme="minorEastAsia" w:hAnsi="Cambria Math"/>
                <w:spacing w:val="2"/>
              </w:rPr>
              <m:t>j</m:t>
            </m:r>
          </m:sub>
        </m:sSub>
        <m:r>
          <w:rPr>
            <w:rFonts w:ascii="Cambria Math" w:eastAsiaTheme="minorEastAsia" w:hAnsi="Cambria Math"/>
            <w:spacing w:val="2"/>
          </w:rPr>
          <m:t>+</m:t>
        </m:r>
        <m:sSub>
          <m:sSubPr>
            <m:ctrlPr>
              <w:rPr>
                <w:rFonts w:ascii="Cambria Math" w:eastAsiaTheme="minorEastAsia" w:hAnsi="Cambria Math"/>
                <w:i/>
                <w:spacing w:val="2"/>
              </w:rPr>
            </m:ctrlPr>
          </m:sSubPr>
          <m:e>
            <m:r>
              <w:rPr>
                <w:rFonts w:ascii="Cambria Math" w:eastAsiaTheme="minorEastAsia" w:hAnsi="Cambria Math"/>
                <w:spacing w:val="2"/>
              </w:rPr>
              <m:t>a</m:t>
            </m:r>
          </m:e>
          <m:sub>
            <m:r>
              <w:rPr>
                <w:rFonts w:ascii="Cambria Math" w:eastAsiaTheme="minorEastAsia" w:hAnsi="Cambria Math"/>
                <w:spacing w:val="2"/>
              </w:rPr>
              <m:t>3</m:t>
            </m:r>
          </m:sub>
        </m:sSub>
        <m:r>
          <w:rPr>
            <w:rFonts w:ascii="Cambria Math" w:eastAsiaTheme="minorEastAsia" w:hAnsi="Cambria Math"/>
            <w:spacing w:val="2"/>
          </w:rPr>
          <m:t>log</m:t>
        </m:r>
        <m:sSub>
          <m:sSubPr>
            <m:ctrlPr>
              <w:rPr>
                <w:rFonts w:ascii="Cambria Math" w:eastAsiaTheme="minorEastAsia" w:hAnsi="Cambria Math"/>
                <w:i/>
                <w:spacing w:val="2"/>
              </w:rPr>
            </m:ctrlPr>
          </m:sSubPr>
          <m:e>
            <m:r>
              <w:rPr>
                <w:rFonts w:ascii="Cambria Math" w:eastAsiaTheme="minorEastAsia" w:hAnsi="Cambria Math"/>
                <w:spacing w:val="2"/>
              </w:rPr>
              <m:t>D</m:t>
            </m:r>
          </m:e>
          <m:sub>
            <m:r>
              <w:rPr>
                <w:rFonts w:ascii="Cambria Math" w:eastAsiaTheme="minorEastAsia" w:hAnsi="Cambria Math"/>
                <w:spacing w:val="2"/>
              </w:rPr>
              <m:t>ij</m:t>
            </m:r>
          </m:sub>
        </m:sSub>
      </m:oMath>
      <w:r w:rsidR="00C62277">
        <w:rPr>
          <w:rFonts w:eastAsiaTheme="minorEastAsia"/>
          <w:spacing w:val="2"/>
        </w:rPr>
        <w:t xml:space="preserve"> , gdzie </w:t>
      </w:r>
      <m:oMath>
        <m:sSup>
          <m:sSupPr>
            <m:ctrlPr>
              <w:rPr>
                <w:rFonts w:ascii="Cambria Math" w:eastAsiaTheme="minorEastAsia" w:hAnsi="Cambria Math"/>
                <w:i/>
                <w:spacing w:val="2"/>
              </w:rPr>
            </m:ctrlPr>
          </m:sSupPr>
          <m:e>
            <m:r>
              <w:rPr>
                <w:rFonts w:ascii="Cambria Math" w:eastAsiaTheme="minorEastAsia" w:hAnsi="Cambria Math"/>
                <w:spacing w:val="2"/>
              </w:rPr>
              <m:t>a</m:t>
            </m:r>
          </m:e>
          <m:sup>
            <m:r>
              <w:rPr>
                <w:rFonts w:ascii="Cambria Math" w:eastAsiaTheme="minorEastAsia" w:hAnsi="Cambria Math"/>
                <w:spacing w:val="2"/>
              </w:rPr>
              <m:t>'</m:t>
            </m:r>
          </m:sup>
        </m:sSup>
        <m:r>
          <w:rPr>
            <w:rFonts w:ascii="Cambria Math" w:eastAsiaTheme="minorEastAsia" w:hAnsi="Cambria Math"/>
            <w:spacing w:val="2"/>
          </w:rPr>
          <m:t>=log</m:t>
        </m:r>
        <m:sSub>
          <m:sSubPr>
            <m:ctrlPr>
              <w:rPr>
                <w:rFonts w:ascii="Cambria Math" w:eastAsiaTheme="minorEastAsia" w:hAnsi="Cambria Math"/>
                <w:i/>
                <w:spacing w:val="2"/>
              </w:rPr>
            </m:ctrlPr>
          </m:sSubPr>
          <m:e>
            <m:r>
              <w:rPr>
                <w:rFonts w:ascii="Cambria Math" w:eastAsiaTheme="minorEastAsia" w:hAnsi="Cambria Math"/>
                <w:spacing w:val="2"/>
              </w:rPr>
              <m:t>a</m:t>
            </m:r>
          </m:e>
          <m:sub>
            <m:r>
              <w:rPr>
                <w:rFonts w:ascii="Cambria Math" w:eastAsiaTheme="minorEastAsia" w:hAnsi="Cambria Math"/>
                <w:spacing w:val="2"/>
              </w:rPr>
              <m:t>0</m:t>
            </m:r>
          </m:sub>
        </m:sSub>
      </m:oMath>
      <w:r w:rsidR="0062737F">
        <w:rPr>
          <w:rFonts w:eastAsiaTheme="minorEastAsia"/>
          <w:spacing w:val="2"/>
        </w:rPr>
        <w:tab/>
      </w:r>
      <w:r w:rsidR="00C62277">
        <w:rPr>
          <w:rFonts w:eastAsiaTheme="minorEastAsia"/>
          <w:spacing w:val="2"/>
        </w:rPr>
        <w:tab/>
      </w:r>
      <w:r w:rsidR="002B38C9">
        <w:rPr>
          <w:rFonts w:eastAsiaTheme="minorEastAsia"/>
          <w:spacing w:val="2"/>
        </w:rPr>
        <w:t>(3</w:t>
      </w:r>
      <w:r w:rsidR="0062737F">
        <w:rPr>
          <w:rFonts w:eastAsiaTheme="minorEastAsia"/>
          <w:spacing w:val="2"/>
        </w:rPr>
        <w:t>)</w:t>
      </w:r>
    </w:p>
    <w:p w:rsidR="0062737F" w:rsidRDefault="0062737F" w:rsidP="0062737F">
      <w:pPr>
        <w:jc w:val="both"/>
        <w:rPr>
          <w:rFonts w:eastAsiaTheme="minorEastAsia"/>
          <w:spacing w:val="2"/>
        </w:rPr>
      </w:pPr>
      <w:r>
        <w:rPr>
          <w:rFonts w:eastAsiaTheme="minorEastAsia"/>
          <w:spacing w:val="2"/>
        </w:rPr>
        <w:t xml:space="preserve">gdzie </w:t>
      </w:r>
      <w:proofErr w:type="spellStart"/>
      <w:r w:rsidRPr="0062737F">
        <w:rPr>
          <w:rFonts w:eastAsiaTheme="minorEastAsia"/>
          <w:i/>
          <w:spacing w:val="2"/>
        </w:rPr>
        <w:t>E</w:t>
      </w:r>
      <w:r w:rsidRPr="0062737F">
        <w:rPr>
          <w:rFonts w:eastAsiaTheme="minorEastAsia"/>
          <w:i/>
          <w:spacing w:val="2"/>
          <w:vertAlign w:val="subscript"/>
        </w:rPr>
        <w:t>ij</w:t>
      </w:r>
      <w:proofErr w:type="spellEnd"/>
      <w:r>
        <w:rPr>
          <w:rFonts w:eastAsiaTheme="minorEastAsia"/>
          <w:spacing w:val="2"/>
        </w:rPr>
        <w:t xml:space="preserve"> oznaczało eksport z kraju </w:t>
      </w:r>
      <w:r w:rsidRPr="0062737F">
        <w:rPr>
          <w:rFonts w:eastAsiaTheme="minorEastAsia"/>
          <w:i/>
          <w:spacing w:val="2"/>
        </w:rPr>
        <w:t>i</w:t>
      </w:r>
      <w:r>
        <w:rPr>
          <w:rFonts w:eastAsiaTheme="minorEastAsia"/>
          <w:spacing w:val="2"/>
        </w:rPr>
        <w:t xml:space="preserve"> do kraju </w:t>
      </w:r>
      <w:r w:rsidRPr="0062737F">
        <w:rPr>
          <w:rFonts w:eastAsiaTheme="minorEastAsia"/>
          <w:i/>
          <w:spacing w:val="2"/>
        </w:rPr>
        <w:t>j</w:t>
      </w:r>
      <w:r>
        <w:rPr>
          <w:rFonts w:eastAsiaTheme="minorEastAsia"/>
          <w:spacing w:val="2"/>
        </w:rPr>
        <w:t xml:space="preserve">, </w:t>
      </w:r>
      <w:proofErr w:type="spellStart"/>
      <w:r w:rsidRPr="0062737F">
        <w:rPr>
          <w:rFonts w:eastAsiaTheme="minorEastAsia"/>
          <w:i/>
          <w:spacing w:val="2"/>
        </w:rPr>
        <w:t>Y</w:t>
      </w:r>
      <w:r w:rsidRPr="0062737F">
        <w:rPr>
          <w:rFonts w:eastAsiaTheme="minorEastAsia"/>
          <w:i/>
          <w:spacing w:val="2"/>
          <w:vertAlign w:val="subscript"/>
        </w:rPr>
        <w:t>i</w:t>
      </w:r>
      <w:proofErr w:type="spellEnd"/>
      <w:r>
        <w:rPr>
          <w:rFonts w:eastAsiaTheme="minorEastAsia"/>
          <w:spacing w:val="2"/>
        </w:rPr>
        <w:t xml:space="preserve"> oraz </w:t>
      </w:r>
      <w:proofErr w:type="spellStart"/>
      <w:r w:rsidRPr="0062737F">
        <w:rPr>
          <w:rFonts w:eastAsiaTheme="minorEastAsia"/>
          <w:i/>
          <w:spacing w:val="2"/>
        </w:rPr>
        <w:t>Y</w:t>
      </w:r>
      <w:r w:rsidRPr="0062737F">
        <w:rPr>
          <w:rFonts w:eastAsiaTheme="minorEastAsia"/>
          <w:i/>
          <w:spacing w:val="2"/>
          <w:vertAlign w:val="subscript"/>
        </w:rPr>
        <w:t>j</w:t>
      </w:r>
      <w:proofErr w:type="spellEnd"/>
      <w:r w:rsidRPr="0062737F">
        <w:rPr>
          <w:rFonts w:eastAsiaTheme="minorEastAsia"/>
          <w:i/>
          <w:spacing w:val="2"/>
        </w:rPr>
        <w:t xml:space="preserve"> </w:t>
      </w:r>
      <w:r>
        <w:rPr>
          <w:rFonts w:eastAsiaTheme="minorEastAsia"/>
          <w:spacing w:val="2"/>
        </w:rPr>
        <w:t xml:space="preserve">PKB tych krajów, </w:t>
      </w:r>
      <w:proofErr w:type="spellStart"/>
      <w:r w:rsidRPr="0062737F">
        <w:rPr>
          <w:rFonts w:eastAsiaTheme="minorEastAsia"/>
          <w:i/>
          <w:spacing w:val="2"/>
        </w:rPr>
        <w:t>D</w:t>
      </w:r>
      <w:r w:rsidRPr="0062737F">
        <w:rPr>
          <w:rFonts w:eastAsiaTheme="minorEastAsia"/>
          <w:i/>
          <w:spacing w:val="2"/>
          <w:vertAlign w:val="subscript"/>
        </w:rPr>
        <w:t>ij</w:t>
      </w:r>
      <w:proofErr w:type="spellEnd"/>
      <w:r>
        <w:rPr>
          <w:rFonts w:eastAsiaTheme="minorEastAsia"/>
          <w:spacing w:val="2"/>
        </w:rPr>
        <w:t xml:space="preserve"> odległość między nimi, </w:t>
      </w:r>
      <w:r w:rsidRPr="0062737F">
        <w:rPr>
          <w:rFonts w:eastAsiaTheme="minorEastAsia"/>
          <w:i/>
          <w:spacing w:val="2"/>
        </w:rPr>
        <w:t>a</w:t>
      </w:r>
      <w:r w:rsidRPr="0062737F">
        <w:rPr>
          <w:rFonts w:eastAsiaTheme="minorEastAsia"/>
          <w:i/>
          <w:spacing w:val="2"/>
          <w:vertAlign w:val="subscript"/>
        </w:rPr>
        <w:t>0</w:t>
      </w:r>
      <w:r>
        <w:rPr>
          <w:rFonts w:eastAsiaTheme="minorEastAsia"/>
          <w:spacing w:val="2"/>
        </w:rPr>
        <w:t xml:space="preserve"> stałą, natomiast </w:t>
      </w:r>
      <w:r w:rsidRPr="0062737F">
        <w:rPr>
          <w:rFonts w:eastAsiaTheme="minorEastAsia"/>
          <w:i/>
          <w:spacing w:val="2"/>
        </w:rPr>
        <w:t>a</w:t>
      </w:r>
      <w:r w:rsidRPr="0062737F">
        <w:rPr>
          <w:rFonts w:eastAsiaTheme="minorEastAsia"/>
          <w:i/>
          <w:spacing w:val="2"/>
          <w:vertAlign w:val="subscript"/>
        </w:rPr>
        <w:t>1</w:t>
      </w:r>
      <w:r>
        <w:rPr>
          <w:rFonts w:eastAsiaTheme="minorEastAsia"/>
          <w:spacing w:val="2"/>
        </w:rPr>
        <w:t xml:space="preserve">, </w:t>
      </w:r>
      <w:r w:rsidRPr="0062737F">
        <w:rPr>
          <w:rFonts w:eastAsiaTheme="minorEastAsia"/>
          <w:i/>
          <w:spacing w:val="2"/>
        </w:rPr>
        <w:t>a</w:t>
      </w:r>
      <w:r w:rsidRPr="0062737F">
        <w:rPr>
          <w:rFonts w:eastAsiaTheme="minorEastAsia"/>
          <w:i/>
          <w:spacing w:val="2"/>
          <w:vertAlign w:val="subscript"/>
        </w:rPr>
        <w:t>2</w:t>
      </w:r>
      <w:r>
        <w:rPr>
          <w:rFonts w:eastAsiaTheme="minorEastAsia"/>
          <w:spacing w:val="2"/>
        </w:rPr>
        <w:t xml:space="preserve"> i </w:t>
      </w:r>
      <w:r w:rsidRPr="0062737F">
        <w:rPr>
          <w:rFonts w:eastAsiaTheme="minorEastAsia"/>
          <w:i/>
          <w:spacing w:val="2"/>
        </w:rPr>
        <w:t>a</w:t>
      </w:r>
      <w:r w:rsidRPr="0062737F">
        <w:rPr>
          <w:rFonts w:eastAsiaTheme="minorEastAsia"/>
          <w:i/>
          <w:spacing w:val="2"/>
          <w:vertAlign w:val="subscript"/>
        </w:rPr>
        <w:t>3</w:t>
      </w:r>
      <w:r>
        <w:rPr>
          <w:rFonts w:eastAsiaTheme="minorEastAsia"/>
          <w:spacing w:val="2"/>
        </w:rPr>
        <w:t xml:space="preserve"> współczynniki proporcjonalności.</w:t>
      </w:r>
    </w:p>
    <w:p w:rsidR="00FD596B" w:rsidRDefault="002D579E" w:rsidP="0062737F">
      <w:pPr>
        <w:jc w:val="both"/>
        <w:rPr>
          <w:spacing w:val="2"/>
        </w:rPr>
      </w:pPr>
      <w:r>
        <w:rPr>
          <w:spacing w:val="2"/>
        </w:rPr>
        <w:tab/>
        <w:t xml:space="preserve">Koncepcja ta, zaproponowana również niezależnie przez </w:t>
      </w:r>
      <w:proofErr w:type="spellStart"/>
      <w:r>
        <w:rPr>
          <w:spacing w:val="2"/>
        </w:rPr>
        <w:t>Poyhonena</w:t>
      </w:r>
      <w:proofErr w:type="spellEnd"/>
      <w:r>
        <w:rPr>
          <w:spacing w:val="2"/>
        </w:rPr>
        <w:t xml:space="preserve"> w 1963 r., stała się popularnym instrumentem modelowania handlu, głównie za sprawą dostęp</w:t>
      </w:r>
      <w:r w:rsidR="00A8488C">
        <w:rPr>
          <w:spacing w:val="2"/>
        </w:rPr>
        <w:t>ności wiarygodnych danych, ale przede wszystkim dzięki</w:t>
      </w:r>
      <w:r>
        <w:rPr>
          <w:spacing w:val="2"/>
        </w:rPr>
        <w:t xml:space="preserve"> możliwości rozwijania równania o nowe zmienne dla potrzeb testowania ich wpływu na strumienie handlu.</w:t>
      </w:r>
    </w:p>
    <w:p w:rsidR="00A8488C" w:rsidRDefault="00A8488C" w:rsidP="0062737F">
      <w:pPr>
        <w:jc w:val="both"/>
        <w:rPr>
          <w:spacing w:val="2"/>
        </w:rPr>
      </w:pPr>
      <w:r>
        <w:rPr>
          <w:spacing w:val="2"/>
        </w:rPr>
        <w:tab/>
        <w:t xml:space="preserve">W artykule jako </w:t>
      </w:r>
      <w:r w:rsidR="00482E22">
        <w:rPr>
          <w:spacing w:val="2"/>
        </w:rPr>
        <w:t xml:space="preserve">potencjalne </w:t>
      </w:r>
      <w:r>
        <w:rPr>
          <w:spacing w:val="2"/>
        </w:rPr>
        <w:t>zmienne niezależne opisujące wartość eksportu poszczególnych kategorii produktów, zdecydowano się</w:t>
      </w:r>
      <w:r w:rsidR="00F012CC">
        <w:rPr>
          <w:spacing w:val="2"/>
        </w:rPr>
        <w:t>, formułując jednocześnie hipotezy badawcze,</w:t>
      </w:r>
      <w:r>
        <w:rPr>
          <w:spacing w:val="2"/>
        </w:rPr>
        <w:t xml:space="preserve"> przyjąć:</w:t>
      </w:r>
    </w:p>
    <w:p w:rsidR="00A8488C" w:rsidRDefault="00482E22" w:rsidP="00A8488C">
      <w:pPr>
        <w:pStyle w:val="Akapitzlist"/>
        <w:numPr>
          <w:ilvl w:val="0"/>
          <w:numId w:val="1"/>
        </w:numPr>
        <w:jc w:val="both"/>
        <w:rPr>
          <w:spacing w:val="2"/>
        </w:rPr>
      </w:pPr>
      <w:r>
        <w:rPr>
          <w:spacing w:val="2"/>
        </w:rPr>
        <w:t xml:space="preserve">PKB </w:t>
      </w:r>
      <w:r w:rsidR="00895CC7">
        <w:rPr>
          <w:spacing w:val="2"/>
        </w:rPr>
        <w:t xml:space="preserve">podmiotów należących do </w:t>
      </w:r>
      <w:r>
        <w:rPr>
          <w:spacing w:val="2"/>
        </w:rPr>
        <w:t>analizowanej pary krajów (</w:t>
      </w:r>
      <w:proofErr w:type="spellStart"/>
      <w:r w:rsidRPr="00A5453F">
        <w:rPr>
          <w:i/>
          <w:spacing w:val="2"/>
        </w:rPr>
        <w:t>PKB</w:t>
      </w:r>
      <w:r w:rsidR="00A122EB" w:rsidRPr="00A5453F">
        <w:rPr>
          <w:i/>
          <w:spacing w:val="2"/>
          <w:vertAlign w:val="subscript"/>
        </w:rPr>
        <w:t>i</w:t>
      </w:r>
      <w:proofErr w:type="spellEnd"/>
      <w:r w:rsidR="00A122EB" w:rsidRPr="00A5453F">
        <w:rPr>
          <w:i/>
          <w:spacing w:val="2"/>
        </w:rPr>
        <w:t xml:space="preserve">, </w:t>
      </w:r>
      <w:proofErr w:type="spellStart"/>
      <w:r w:rsidRPr="00A5453F">
        <w:rPr>
          <w:i/>
          <w:spacing w:val="2"/>
        </w:rPr>
        <w:t>PKB</w:t>
      </w:r>
      <w:r w:rsidR="00A122EB" w:rsidRPr="00A5453F">
        <w:rPr>
          <w:i/>
          <w:spacing w:val="2"/>
          <w:vertAlign w:val="subscript"/>
        </w:rPr>
        <w:t>j</w:t>
      </w:r>
      <w:proofErr w:type="spellEnd"/>
      <w:r w:rsidR="0026454C">
        <w:rPr>
          <w:spacing w:val="2"/>
        </w:rPr>
        <w:t>), który</w:t>
      </w:r>
      <w:r w:rsidR="00BF2EB3">
        <w:rPr>
          <w:spacing w:val="2"/>
        </w:rPr>
        <w:t xml:space="preserve"> odzwierciedla</w:t>
      </w:r>
      <w:r w:rsidR="00A122EB">
        <w:rPr>
          <w:spacing w:val="2"/>
        </w:rPr>
        <w:t xml:space="preserve"> potencjał eksportowy analizowanego kraju i importowy jego partne</w:t>
      </w:r>
      <w:r w:rsidR="00895CC7">
        <w:rPr>
          <w:spacing w:val="2"/>
        </w:rPr>
        <w:t xml:space="preserve">ra. Kraje duże z </w:t>
      </w:r>
      <w:r w:rsidR="00BF2EB3">
        <w:rPr>
          <w:spacing w:val="2"/>
        </w:rPr>
        <w:t xml:space="preserve">ich odpowiednio większą produkcją mają możliwość zaistnienia na zagranicznych rynkach zbytu. Z drugiej </w:t>
      </w:r>
      <w:r w:rsidR="0026454C">
        <w:rPr>
          <w:spacing w:val="2"/>
        </w:rPr>
        <w:t>strony, zgłaszają również wyższy</w:t>
      </w:r>
      <w:r w:rsidR="00BF2EB3">
        <w:rPr>
          <w:spacing w:val="2"/>
        </w:rPr>
        <w:t xml:space="preserve"> popyt, który może zostać zaspokojony poza granicami kraju</w:t>
      </w:r>
      <w:r w:rsidR="000F1001">
        <w:rPr>
          <w:spacing w:val="2"/>
        </w:rPr>
        <w:t xml:space="preserve">. </w:t>
      </w:r>
      <w:r w:rsidR="00F012CC">
        <w:rPr>
          <w:spacing w:val="2"/>
        </w:rPr>
        <w:t>Wyższe PKB, zarówno eksportera, jak i jego partnera, powinno zatem sprzyjać wzrostowi wartości obrotów handlowych.</w:t>
      </w:r>
      <w:r w:rsidR="00F012CC" w:rsidRPr="00F012CC">
        <w:rPr>
          <w:spacing w:val="2"/>
        </w:rPr>
        <w:t xml:space="preserve"> </w:t>
      </w:r>
      <w:r w:rsidR="00F012CC">
        <w:rPr>
          <w:spacing w:val="2"/>
        </w:rPr>
        <w:t>Dane wykorzystane w badaniu, wyrażone w mln USD, pochodzą z baz UNCTAD (2016);</w:t>
      </w:r>
    </w:p>
    <w:p w:rsidR="00482E22" w:rsidRDefault="00482E22" w:rsidP="00A8488C">
      <w:pPr>
        <w:pStyle w:val="Akapitzlist"/>
        <w:numPr>
          <w:ilvl w:val="0"/>
          <w:numId w:val="1"/>
        </w:numPr>
        <w:jc w:val="both"/>
        <w:rPr>
          <w:spacing w:val="2"/>
        </w:rPr>
      </w:pPr>
      <w:r>
        <w:rPr>
          <w:spacing w:val="2"/>
        </w:rPr>
        <w:t xml:space="preserve">PKB per capita </w:t>
      </w:r>
      <w:r w:rsidR="00895CC7">
        <w:rPr>
          <w:spacing w:val="2"/>
        </w:rPr>
        <w:t xml:space="preserve">podmiotów należących do analizowanej </w:t>
      </w:r>
      <w:r>
        <w:rPr>
          <w:spacing w:val="2"/>
        </w:rPr>
        <w:t>pary krajów (</w:t>
      </w:r>
      <w:proofErr w:type="spellStart"/>
      <w:r w:rsidRPr="00A5453F">
        <w:rPr>
          <w:i/>
          <w:spacing w:val="2"/>
        </w:rPr>
        <w:t>PKBpc</w:t>
      </w:r>
      <w:r w:rsidRPr="00A5453F">
        <w:rPr>
          <w:i/>
          <w:spacing w:val="2"/>
          <w:vertAlign w:val="subscript"/>
        </w:rPr>
        <w:t>i</w:t>
      </w:r>
      <w:proofErr w:type="spellEnd"/>
      <w:r w:rsidRPr="00A5453F">
        <w:rPr>
          <w:i/>
          <w:spacing w:val="2"/>
        </w:rPr>
        <w:t xml:space="preserve">, </w:t>
      </w:r>
      <w:proofErr w:type="spellStart"/>
      <w:r w:rsidRPr="00A5453F">
        <w:rPr>
          <w:i/>
          <w:spacing w:val="2"/>
        </w:rPr>
        <w:t>PKBpc</w:t>
      </w:r>
      <w:r w:rsidRPr="00A5453F">
        <w:rPr>
          <w:i/>
          <w:spacing w:val="2"/>
          <w:vertAlign w:val="subscript"/>
        </w:rPr>
        <w:t>j</w:t>
      </w:r>
      <w:proofErr w:type="spellEnd"/>
      <w:r>
        <w:rPr>
          <w:spacing w:val="2"/>
        </w:rPr>
        <w:t>),</w:t>
      </w:r>
      <w:r w:rsidR="0026454C">
        <w:rPr>
          <w:spacing w:val="2"/>
        </w:rPr>
        <w:t xml:space="preserve"> który </w:t>
      </w:r>
      <w:r w:rsidR="00F80D2F">
        <w:rPr>
          <w:spacing w:val="2"/>
        </w:rPr>
        <w:t>odnosi się do poziomu ich rozwoju.</w:t>
      </w:r>
      <w:r w:rsidR="00714F0E">
        <w:rPr>
          <w:spacing w:val="2"/>
        </w:rPr>
        <w:t xml:space="preserve"> Rosnący poziomu rozwoju gospodarczego skutkuje zarówno efektem produkcyjnym, jak i konsumpcyjnym. Pierwszy z nich, w oparciu o nową teorię wzrostu gospodarczego, uwzględnia aspekt jakościowy czynników produkcji i bierze pod uwagę nie tylko ich rozmiary, ale również produktywność, która rośnie wraz ze wzrostem poziomu gospodarczego. </w:t>
      </w:r>
      <w:r w:rsidR="00714F0E">
        <w:rPr>
          <w:spacing w:val="2"/>
        </w:rPr>
        <w:lastRenderedPageBreak/>
        <w:t>Natomiast efekt konsumpcyjny związany jest ze wzrostem popytu na dobra importowane wskutek zwiększenia dochodów konsumentów i zmian w strukturze tego popytu (Białowąs, 2015</w:t>
      </w:r>
      <w:r w:rsidR="00263EEB">
        <w:rPr>
          <w:spacing w:val="2"/>
        </w:rPr>
        <w:t>, s. 52-53</w:t>
      </w:r>
      <w:r w:rsidR="00714F0E">
        <w:rPr>
          <w:spacing w:val="2"/>
        </w:rPr>
        <w:t>)</w:t>
      </w:r>
      <w:r w:rsidR="008D75D4">
        <w:rPr>
          <w:spacing w:val="2"/>
        </w:rPr>
        <w:t xml:space="preserve">. </w:t>
      </w:r>
      <w:r w:rsidR="00F012CC">
        <w:rPr>
          <w:spacing w:val="2"/>
        </w:rPr>
        <w:t xml:space="preserve">Wyższy poziom PKB per capita obu partnerów powinien sprzyjać wzrostowi wartości wymiany handlowej. </w:t>
      </w:r>
      <w:r w:rsidR="000F1001">
        <w:rPr>
          <w:spacing w:val="2"/>
        </w:rPr>
        <w:t>Dane wykorzystane w badaniu</w:t>
      </w:r>
      <w:r w:rsidR="00126687">
        <w:rPr>
          <w:spacing w:val="2"/>
        </w:rPr>
        <w:t>, wyrażone w mln USD,</w:t>
      </w:r>
      <w:r w:rsidR="000F1001">
        <w:rPr>
          <w:spacing w:val="2"/>
        </w:rPr>
        <w:t xml:space="preserve"> pochodzą z baz UNCTAD (2016)</w:t>
      </w:r>
      <w:r w:rsidR="00714F0E">
        <w:rPr>
          <w:spacing w:val="2"/>
        </w:rPr>
        <w:t>;</w:t>
      </w:r>
    </w:p>
    <w:p w:rsidR="00906888" w:rsidRDefault="000F1001" w:rsidP="00906888">
      <w:pPr>
        <w:pStyle w:val="Akapitzlist"/>
        <w:numPr>
          <w:ilvl w:val="0"/>
          <w:numId w:val="1"/>
        </w:numPr>
        <w:jc w:val="both"/>
        <w:rPr>
          <w:spacing w:val="2"/>
        </w:rPr>
      </w:pPr>
      <w:r>
        <w:rPr>
          <w:spacing w:val="2"/>
        </w:rPr>
        <w:t>wskaźnik relatywnej różnicy</w:t>
      </w:r>
      <w:r w:rsidR="00B2313E">
        <w:rPr>
          <w:spacing w:val="2"/>
        </w:rPr>
        <w:t xml:space="preserve"> w wielkości PKB </w:t>
      </w:r>
      <w:r w:rsidR="0066738B">
        <w:rPr>
          <w:spacing w:val="2"/>
        </w:rPr>
        <w:t xml:space="preserve">podmiotów </w:t>
      </w:r>
      <w:r w:rsidR="00B2313E">
        <w:rPr>
          <w:spacing w:val="2"/>
        </w:rPr>
        <w:t>należących do analizowanej pary krajów (</w:t>
      </w:r>
      <w:proofErr w:type="spellStart"/>
      <w:r w:rsidR="00B2313E" w:rsidRPr="00A5453F">
        <w:rPr>
          <w:i/>
          <w:spacing w:val="2"/>
        </w:rPr>
        <w:t>DistPKB</w:t>
      </w:r>
      <w:r w:rsidR="00B2313E" w:rsidRPr="00A5453F">
        <w:rPr>
          <w:i/>
          <w:spacing w:val="2"/>
          <w:vertAlign w:val="subscript"/>
        </w:rPr>
        <w:t>ij</w:t>
      </w:r>
      <w:proofErr w:type="spellEnd"/>
      <w:r w:rsidR="0066738B">
        <w:rPr>
          <w:spacing w:val="2"/>
        </w:rPr>
        <w:t>)</w:t>
      </w:r>
      <w:r w:rsidR="005B2E43">
        <w:rPr>
          <w:spacing w:val="2"/>
        </w:rPr>
        <w:t>,</w:t>
      </w:r>
      <w:r w:rsidR="0066738B">
        <w:rPr>
          <w:spacing w:val="2"/>
        </w:rPr>
        <w:t xml:space="preserve"> który mówi o rosnącym zróżnicowaniu potencjału eksportowo-importowego partnerów gospodarczych.</w:t>
      </w:r>
      <w:r w:rsidR="00906888">
        <w:rPr>
          <w:spacing w:val="2"/>
        </w:rPr>
        <w:t xml:space="preserve"> Zwłaszcza w odniesieniu do większych gospodarek (mierzonych poziomem PKB) redukcja tej różnicy powinna sprzyjać kreacji wymiany handlowej.</w:t>
      </w:r>
    </w:p>
    <w:p w:rsidR="00906888" w:rsidRDefault="00906888" w:rsidP="00906888">
      <w:pPr>
        <w:ind w:left="720"/>
        <w:jc w:val="both"/>
        <w:rPr>
          <w:spacing w:val="2"/>
        </w:rPr>
      </w:pPr>
      <w:r>
        <w:rPr>
          <w:spacing w:val="2"/>
        </w:rPr>
        <w:t>Wskaźnik wyliczono za pomocą wzoru (Pietrzak &amp; Łapińska, 2014, s. 70):</w:t>
      </w:r>
    </w:p>
    <w:p w:rsidR="000F1001" w:rsidRDefault="00A139A3" w:rsidP="00906888">
      <w:pPr>
        <w:ind w:left="720"/>
        <w:jc w:val="both"/>
        <w:rPr>
          <w:rFonts w:eastAsiaTheme="minorEastAsia"/>
          <w:spacing w:val="2"/>
        </w:rPr>
      </w:pPr>
      <m:oMath>
        <m:sSub>
          <m:sSubPr>
            <m:ctrlPr>
              <w:rPr>
                <w:rFonts w:ascii="Cambria Math" w:hAnsi="Cambria Math"/>
                <w:i/>
                <w:spacing w:val="2"/>
              </w:rPr>
            </m:ctrlPr>
          </m:sSubPr>
          <m:e>
            <m:r>
              <w:rPr>
                <w:rFonts w:ascii="Cambria Math" w:hAnsi="Cambria Math"/>
                <w:spacing w:val="2"/>
              </w:rPr>
              <m:t>DistPKB</m:t>
            </m:r>
          </m:e>
          <m:sub>
            <m:r>
              <w:rPr>
                <w:rFonts w:ascii="Cambria Math" w:hAnsi="Cambria Math"/>
                <w:spacing w:val="2"/>
              </w:rPr>
              <m:t>ij</m:t>
            </m:r>
          </m:sub>
        </m:sSub>
        <m:r>
          <w:rPr>
            <w:rFonts w:ascii="Cambria Math" w:hAnsi="Cambria Math"/>
            <w:spacing w:val="2"/>
          </w:rPr>
          <m:t>=1+</m:t>
        </m:r>
        <m:f>
          <m:fPr>
            <m:ctrlPr>
              <w:rPr>
                <w:rFonts w:ascii="Cambria Math" w:hAnsi="Cambria Math"/>
                <w:i/>
                <w:spacing w:val="2"/>
              </w:rPr>
            </m:ctrlPr>
          </m:fPr>
          <m:num>
            <m:r>
              <w:rPr>
                <w:rFonts w:ascii="Cambria Math" w:hAnsi="Cambria Math"/>
                <w:spacing w:val="2"/>
              </w:rPr>
              <m:t>(w)ln(w)+</m:t>
            </m:r>
            <m:d>
              <m:dPr>
                <m:ctrlPr>
                  <w:rPr>
                    <w:rFonts w:ascii="Cambria Math" w:hAnsi="Cambria Math"/>
                    <w:i/>
                    <w:spacing w:val="2"/>
                  </w:rPr>
                </m:ctrlPr>
              </m:dPr>
              <m:e>
                <m:r>
                  <w:rPr>
                    <w:rFonts w:ascii="Cambria Math" w:hAnsi="Cambria Math"/>
                    <w:spacing w:val="2"/>
                  </w:rPr>
                  <m:t>1-w</m:t>
                </m:r>
              </m:e>
            </m:d>
            <m:r>
              <w:rPr>
                <w:rFonts w:ascii="Cambria Math" w:hAnsi="Cambria Math"/>
                <w:spacing w:val="2"/>
              </w:rPr>
              <m:t>ln(1-w)</m:t>
            </m:r>
          </m:num>
          <m:den>
            <m:r>
              <w:rPr>
                <w:rFonts w:ascii="Cambria Math" w:hAnsi="Cambria Math"/>
                <w:spacing w:val="2"/>
              </w:rPr>
              <m:t>ln(2)</m:t>
            </m:r>
          </m:den>
        </m:f>
      </m:oMath>
      <w:r w:rsidR="005B2E43" w:rsidRPr="00906888">
        <w:rPr>
          <w:spacing w:val="2"/>
        </w:rPr>
        <w:t xml:space="preserve"> </w:t>
      </w:r>
      <w:r w:rsidR="005F6E39">
        <w:rPr>
          <w:spacing w:val="2"/>
        </w:rPr>
        <w:t xml:space="preserve">, gdzie </w:t>
      </w:r>
      <m:oMath>
        <m:r>
          <w:rPr>
            <w:rFonts w:ascii="Cambria Math" w:hAnsi="Cambria Math"/>
            <w:spacing w:val="2"/>
          </w:rPr>
          <m:t>w=</m:t>
        </m:r>
        <m:f>
          <m:fPr>
            <m:ctrlPr>
              <w:rPr>
                <w:rFonts w:ascii="Cambria Math" w:hAnsi="Cambria Math"/>
                <w:i/>
                <w:spacing w:val="2"/>
              </w:rPr>
            </m:ctrlPr>
          </m:fPr>
          <m:num>
            <m:sSub>
              <m:sSubPr>
                <m:ctrlPr>
                  <w:rPr>
                    <w:rFonts w:ascii="Cambria Math" w:hAnsi="Cambria Math"/>
                    <w:i/>
                    <w:spacing w:val="2"/>
                  </w:rPr>
                </m:ctrlPr>
              </m:sSubPr>
              <m:e>
                <m:r>
                  <w:rPr>
                    <w:rFonts w:ascii="Cambria Math" w:hAnsi="Cambria Math"/>
                    <w:spacing w:val="2"/>
                  </w:rPr>
                  <m:t>PKB</m:t>
                </m:r>
              </m:e>
              <m:sub>
                <m:r>
                  <w:rPr>
                    <w:rFonts w:ascii="Cambria Math" w:hAnsi="Cambria Math"/>
                    <w:spacing w:val="2"/>
                  </w:rPr>
                  <m:t>i</m:t>
                </m:r>
              </m:sub>
            </m:sSub>
          </m:num>
          <m:den>
            <m:sSub>
              <m:sSubPr>
                <m:ctrlPr>
                  <w:rPr>
                    <w:rFonts w:ascii="Cambria Math" w:hAnsi="Cambria Math"/>
                    <w:i/>
                    <w:spacing w:val="2"/>
                  </w:rPr>
                </m:ctrlPr>
              </m:sSubPr>
              <m:e>
                <m:r>
                  <w:rPr>
                    <w:rFonts w:ascii="Cambria Math" w:hAnsi="Cambria Math"/>
                    <w:spacing w:val="2"/>
                  </w:rPr>
                  <m:t>PKB</m:t>
                </m:r>
              </m:e>
              <m:sub>
                <m:r>
                  <w:rPr>
                    <w:rFonts w:ascii="Cambria Math" w:hAnsi="Cambria Math"/>
                    <w:spacing w:val="2"/>
                  </w:rPr>
                  <m:t>i</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PKB</m:t>
                </m:r>
              </m:e>
              <m:sub>
                <m:r>
                  <w:rPr>
                    <w:rFonts w:ascii="Cambria Math" w:hAnsi="Cambria Math"/>
                    <w:spacing w:val="2"/>
                  </w:rPr>
                  <m:t>j</m:t>
                </m:r>
              </m:sub>
            </m:sSub>
          </m:den>
        </m:f>
      </m:oMath>
      <w:r w:rsidR="002B38C9">
        <w:rPr>
          <w:rFonts w:eastAsiaTheme="minorEastAsia"/>
          <w:spacing w:val="2"/>
        </w:rPr>
        <w:t xml:space="preserve"> </w:t>
      </w:r>
      <w:r w:rsidR="002B38C9">
        <w:rPr>
          <w:rFonts w:eastAsiaTheme="minorEastAsia"/>
          <w:spacing w:val="2"/>
        </w:rPr>
        <w:tab/>
        <w:t>(4</w:t>
      </w:r>
      <w:r w:rsidR="005F6E39">
        <w:rPr>
          <w:rFonts w:eastAsiaTheme="minorEastAsia"/>
          <w:spacing w:val="2"/>
        </w:rPr>
        <w:t>)</w:t>
      </w:r>
    </w:p>
    <w:p w:rsidR="005F6E39" w:rsidRDefault="005F6E39" w:rsidP="00906888">
      <w:pPr>
        <w:ind w:left="720"/>
        <w:jc w:val="both"/>
        <w:rPr>
          <w:spacing w:val="2"/>
        </w:rPr>
      </w:pPr>
      <w:r>
        <w:rPr>
          <w:spacing w:val="2"/>
        </w:rPr>
        <w:t>Wskaźnik ten jest miarą znormalizowaną przyjmującą wartości z przedziału [0,1], gdzie zero oznacza identyczne PKB krajów, a zbliżanie się do jedności jest równoważne ze wzrostem zróżnicowania pomiędzy ich PKB;</w:t>
      </w:r>
    </w:p>
    <w:p w:rsidR="00A8488C" w:rsidRPr="00126687" w:rsidRDefault="005F6E39" w:rsidP="0062737F">
      <w:pPr>
        <w:pStyle w:val="Akapitzlist"/>
        <w:numPr>
          <w:ilvl w:val="0"/>
          <w:numId w:val="3"/>
        </w:numPr>
        <w:jc w:val="both"/>
        <w:rPr>
          <w:spacing w:val="2"/>
        </w:rPr>
      </w:pPr>
      <w:r>
        <w:rPr>
          <w:spacing w:val="2"/>
        </w:rPr>
        <w:t>wskaźnik relatywnej różnicy w wielkości PKB per capita podmiotów</w:t>
      </w:r>
      <w:r w:rsidRPr="0066738B">
        <w:rPr>
          <w:spacing w:val="2"/>
        </w:rPr>
        <w:t xml:space="preserve"> </w:t>
      </w:r>
      <w:r w:rsidR="00CB05CF">
        <w:rPr>
          <w:spacing w:val="2"/>
        </w:rPr>
        <w:t>należących do analizowanej pary</w:t>
      </w:r>
      <w:r w:rsidR="00A5453F">
        <w:rPr>
          <w:spacing w:val="2"/>
        </w:rPr>
        <w:t xml:space="preserve"> krajów (</w:t>
      </w:r>
      <w:proofErr w:type="spellStart"/>
      <w:r w:rsidRPr="00A5453F">
        <w:rPr>
          <w:i/>
          <w:spacing w:val="2"/>
        </w:rPr>
        <w:t>DistPKBpc</w:t>
      </w:r>
      <w:r w:rsidRPr="00A5453F">
        <w:rPr>
          <w:i/>
          <w:spacing w:val="2"/>
          <w:vertAlign w:val="subscript"/>
        </w:rPr>
        <w:t>ij</w:t>
      </w:r>
      <w:proofErr w:type="spellEnd"/>
      <w:r>
        <w:rPr>
          <w:spacing w:val="2"/>
        </w:rPr>
        <w:t>)</w:t>
      </w:r>
      <w:r w:rsidR="00A5453F">
        <w:rPr>
          <w:spacing w:val="2"/>
        </w:rPr>
        <w:t>. Wartość wskaźnika wyliczono analogicznie, jak dla różnicy w PKB. Nieznaczne różnice w PKB per capit</w:t>
      </w:r>
      <w:r w:rsidR="00E041CA">
        <w:rPr>
          <w:spacing w:val="2"/>
        </w:rPr>
        <w:t>a pary krajów mogą</w:t>
      </w:r>
      <w:r w:rsidR="00A5453F">
        <w:rPr>
          <w:spacing w:val="2"/>
        </w:rPr>
        <w:t xml:space="preserve"> wskazywać na ich zbliżone preferencje konsumpcyjne.</w:t>
      </w:r>
      <w:r w:rsidR="00F15A93">
        <w:rPr>
          <w:spacing w:val="2"/>
        </w:rPr>
        <w:t xml:space="preserve"> Tymczasem ze stworzonej przez Lindera (1961, s. 94) teorii podobieństwa preferencji</w:t>
      </w:r>
      <w:r w:rsidR="00126687">
        <w:rPr>
          <w:spacing w:val="2"/>
        </w:rPr>
        <w:t xml:space="preserve"> wynika, iż </w:t>
      </w:r>
      <w:r w:rsidR="00126687" w:rsidRPr="00B85AAF">
        <w:t xml:space="preserve">kraj eksportuje </w:t>
      </w:r>
      <w:r w:rsidR="00126687">
        <w:t>przede wszystkim</w:t>
      </w:r>
      <w:r w:rsidR="00126687" w:rsidRPr="00B85AAF">
        <w:t xml:space="preserve"> takie </w:t>
      </w:r>
      <w:r w:rsidR="00126687">
        <w:t>towary</w:t>
      </w:r>
      <w:r w:rsidR="00126687" w:rsidRPr="00B85AAF">
        <w:t>, na które istnieje już popyt na rynku wewnętrznym</w:t>
      </w:r>
      <w:r w:rsidR="00126687">
        <w:t>. G</w:t>
      </w:r>
      <w:r w:rsidR="00126687" w:rsidRPr="00B85AAF">
        <w:t xml:space="preserve">warantuje </w:t>
      </w:r>
      <w:r w:rsidR="00126687">
        <w:t xml:space="preserve">on bowiem </w:t>
      </w:r>
      <w:r w:rsidR="00126687" w:rsidRPr="00B85AAF">
        <w:t>podjęcie opłacalnej produkcji i prowadzenie skutecz</w:t>
      </w:r>
      <w:r w:rsidR="00126687">
        <w:t xml:space="preserve">nej konkurencji z producentami </w:t>
      </w:r>
      <w:r w:rsidR="00126687" w:rsidRPr="00B85AAF">
        <w:t>identycznych lu</w:t>
      </w:r>
      <w:r w:rsidR="00126687">
        <w:t>b podobnych dóbr na rynkach zagranicznych. Oznacza to, iż wyrównywanie się poziomu PKB per capita partnerów handlowych, sprzyjać będzie wzrostowi wartości ich wymiany handlowej;</w:t>
      </w:r>
    </w:p>
    <w:p w:rsidR="00126687" w:rsidRDefault="00CB05CF" w:rsidP="0062737F">
      <w:pPr>
        <w:pStyle w:val="Akapitzlist"/>
        <w:numPr>
          <w:ilvl w:val="0"/>
          <w:numId w:val="3"/>
        </w:numPr>
        <w:jc w:val="both"/>
        <w:rPr>
          <w:spacing w:val="2"/>
        </w:rPr>
      </w:pPr>
      <w:r>
        <w:rPr>
          <w:spacing w:val="2"/>
        </w:rPr>
        <w:t>odległość między analizowaną parą krajów (</w:t>
      </w:r>
      <w:proofErr w:type="spellStart"/>
      <w:r w:rsidRPr="00CB05CF">
        <w:rPr>
          <w:i/>
          <w:spacing w:val="2"/>
        </w:rPr>
        <w:t>Dist</w:t>
      </w:r>
      <w:r w:rsidRPr="00CB05CF">
        <w:rPr>
          <w:i/>
          <w:spacing w:val="2"/>
          <w:vertAlign w:val="subscript"/>
        </w:rPr>
        <w:t>ij</w:t>
      </w:r>
      <w:proofErr w:type="spellEnd"/>
      <w:r>
        <w:rPr>
          <w:spacing w:val="2"/>
        </w:rPr>
        <w:t>)</w:t>
      </w:r>
      <w:r w:rsidR="00242481">
        <w:rPr>
          <w:spacing w:val="2"/>
        </w:rPr>
        <w:t>, która stanowi wyrażoną w km odległość geograficzną w linii prostej pomiędzy stolicami państw. Jej wzrost odpowiada osłabieniu atrakcyjności podejmowania współpracy handlowej z uwagi na jej koszty, reprezentowane głównie przez koszty transportu, czas dostawy</w:t>
      </w:r>
      <w:r w:rsidR="008D6BF0">
        <w:rPr>
          <w:spacing w:val="2"/>
        </w:rPr>
        <w:t xml:space="preserve">, ale również odmienność kulturową. </w:t>
      </w:r>
      <w:r w:rsidR="00F012CC">
        <w:rPr>
          <w:spacing w:val="2"/>
        </w:rPr>
        <w:t xml:space="preserve">Wraz ze wzrostem odległości pomiędzy partnerami, osłabieniu ulegać powinna intensywność wymiany handlowej. </w:t>
      </w:r>
      <w:r w:rsidR="008D6BF0">
        <w:rPr>
          <w:spacing w:val="2"/>
        </w:rPr>
        <w:t>Dane wykorzystane w badaniu pozyskano z EUROSTAT (2016)</w:t>
      </w:r>
      <w:r w:rsidR="00CD285A">
        <w:rPr>
          <w:spacing w:val="2"/>
        </w:rPr>
        <w:t>;</w:t>
      </w:r>
    </w:p>
    <w:p w:rsidR="008D6BF0" w:rsidRDefault="00CD285A" w:rsidP="00CD285A">
      <w:pPr>
        <w:jc w:val="both"/>
        <w:rPr>
          <w:spacing w:val="2"/>
        </w:rPr>
      </w:pPr>
      <w:r>
        <w:rPr>
          <w:spacing w:val="2"/>
        </w:rPr>
        <w:lastRenderedPageBreak/>
        <w:t>Jako miary uzupełniające odległość geograficzną przyjęto zmienne zerojedyn</w:t>
      </w:r>
      <w:r w:rsidR="00AD0CB4">
        <w:rPr>
          <w:spacing w:val="2"/>
        </w:rPr>
        <w:t>kowe, które oddają dodatkowe ułatwienia w podjęciu wymiany handlowej:</w:t>
      </w:r>
    </w:p>
    <w:p w:rsidR="00AD0CB4" w:rsidRDefault="00AD0CB4" w:rsidP="00AD0CB4">
      <w:pPr>
        <w:pStyle w:val="Akapitzlist"/>
        <w:numPr>
          <w:ilvl w:val="0"/>
          <w:numId w:val="4"/>
        </w:numPr>
        <w:jc w:val="both"/>
        <w:rPr>
          <w:spacing w:val="2"/>
        </w:rPr>
      </w:pPr>
      <w:r>
        <w:rPr>
          <w:spacing w:val="2"/>
        </w:rPr>
        <w:t>posiadanie przez parę krajów wspólnej granicy (</w:t>
      </w:r>
      <w:proofErr w:type="spellStart"/>
      <w:r w:rsidRPr="00312D5F">
        <w:rPr>
          <w:i/>
          <w:spacing w:val="2"/>
        </w:rPr>
        <w:t>G</w:t>
      </w:r>
      <w:r w:rsidRPr="00312D5F">
        <w:rPr>
          <w:i/>
          <w:spacing w:val="2"/>
          <w:vertAlign w:val="subscript"/>
        </w:rPr>
        <w:t>ij</w:t>
      </w:r>
      <w:proofErr w:type="spellEnd"/>
      <w:r>
        <w:rPr>
          <w:spacing w:val="2"/>
        </w:rPr>
        <w:t>), co sprzyja nawiązywaniu kontaktów handlowych</w:t>
      </w:r>
      <w:r w:rsidR="003D39E2">
        <w:rPr>
          <w:spacing w:val="2"/>
        </w:rPr>
        <w:t xml:space="preserve"> (</w:t>
      </w:r>
      <w:proofErr w:type="spellStart"/>
      <w:r w:rsidR="003D39E2">
        <w:rPr>
          <w:spacing w:val="2"/>
        </w:rPr>
        <w:t>Shin</w:t>
      </w:r>
      <w:proofErr w:type="spellEnd"/>
      <w:r w:rsidR="003D39E2">
        <w:rPr>
          <w:spacing w:val="2"/>
        </w:rPr>
        <w:t xml:space="preserve"> &amp; </w:t>
      </w:r>
      <w:proofErr w:type="spellStart"/>
      <w:r w:rsidR="003D39E2">
        <w:rPr>
          <w:spacing w:val="2"/>
        </w:rPr>
        <w:t>Serlenga</w:t>
      </w:r>
      <w:proofErr w:type="spellEnd"/>
      <w:r w:rsidR="003D39E2">
        <w:rPr>
          <w:spacing w:val="2"/>
        </w:rPr>
        <w:t>, 2004</w:t>
      </w:r>
      <w:r w:rsidR="00600D5E">
        <w:rPr>
          <w:spacing w:val="2"/>
        </w:rPr>
        <w:t>)</w:t>
      </w:r>
      <w:r w:rsidR="003D39E2">
        <w:rPr>
          <w:spacing w:val="2"/>
        </w:rPr>
        <w:t>;</w:t>
      </w:r>
    </w:p>
    <w:p w:rsidR="003D39E2" w:rsidRDefault="003E0DB5" w:rsidP="00AD0CB4">
      <w:pPr>
        <w:pStyle w:val="Akapitzlist"/>
        <w:numPr>
          <w:ilvl w:val="0"/>
          <w:numId w:val="4"/>
        </w:numPr>
        <w:jc w:val="both"/>
        <w:rPr>
          <w:spacing w:val="2"/>
        </w:rPr>
      </w:pPr>
      <w:r>
        <w:rPr>
          <w:spacing w:val="2"/>
        </w:rPr>
        <w:t>przynależność do Unii Europejskiej obu podmiotów</w:t>
      </w:r>
      <w:r w:rsidRPr="0066738B">
        <w:rPr>
          <w:spacing w:val="2"/>
        </w:rPr>
        <w:t xml:space="preserve"> </w:t>
      </w:r>
      <w:r>
        <w:rPr>
          <w:spacing w:val="2"/>
        </w:rPr>
        <w:t>należących do analizowanej pary krajów (</w:t>
      </w:r>
      <w:proofErr w:type="spellStart"/>
      <w:r>
        <w:rPr>
          <w:spacing w:val="2"/>
        </w:rPr>
        <w:t>UE</w:t>
      </w:r>
      <w:r>
        <w:rPr>
          <w:spacing w:val="2"/>
          <w:vertAlign w:val="subscript"/>
        </w:rPr>
        <w:t>ij</w:t>
      </w:r>
      <w:proofErr w:type="spellEnd"/>
      <w:r>
        <w:rPr>
          <w:spacing w:val="2"/>
        </w:rPr>
        <w:t>). Członkostwo w ugrupowaniu integracyjnym stanowi bodziec</w:t>
      </w:r>
      <w:r w:rsidR="000351DD">
        <w:rPr>
          <w:spacing w:val="2"/>
        </w:rPr>
        <w:t xml:space="preserve"> do nawiązywania współpracy handlowej w jego obrębie za sprawą efektu kreacji i przesunięcia handlu. W analizowanym okresie 1995-2015 miały miejsce trzy rozszerzenia Unii Europejskiej: w 2004 roku do UE przystąpiły Malta i Cypr oraz osiem państw Europy Środkowo-Wschodniej, w 2007 roku dołączyły Bułgaria i Rumunia, a w 2013 roku –</w:t>
      </w:r>
      <w:r w:rsidR="00506E44">
        <w:rPr>
          <w:spacing w:val="2"/>
        </w:rPr>
        <w:t xml:space="preserve"> Chorwacja;</w:t>
      </w:r>
    </w:p>
    <w:p w:rsidR="00506E44" w:rsidRPr="00AD0CB4" w:rsidRDefault="00506E44" w:rsidP="00AD0CB4">
      <w:pPr>
        <w:pStyle w:val="Akapitzlist"/>
        <w:numPr>
          <w:ilvl w:val="0"/>
          <w:numId w:val="4"/>
        </w:numPr>
        <w:jc w:val="both"/>
        <w:rPr>
          <w:spacing w:val="2"/>
        </w:rPr>
      </w:pPr>
      <w:r>
        <w:rPr>
          <w:spacing w:val="2"/>
        </w:rPr>
        <w:t>przynależność do strefy euro obu podmiotów</w:t>
      </w:r>
      <w:r w:rsidRPr="0066738B">
        <w:rPr>
          <w:spacing w:val="2"/>
        </w:rPr>
        <w:t xml:space="preserve"> </w:t>
      </w:r>
      <w:r>
        <w:rPr>
          <w:spacing w:val="2"/>
        </w:rPr>
        <w:t>należących do analizowanej pary krajów (</w:t>
      </w:r>
      <w:proofErr w:type="spellStart"/>
      <w:r>
        <w:rPr>
          <w:spacing w:val="2"/>
        </w:rPr>
        <w:t>Euro</w:t>
      </w:r>
      <w:r>
        <w:rPr>
          <w:spacing w:val="2"/>
          <w:vertAlign w:val="subscript"/>
        </w:rPr>
        <w:t>ij</w:t>
      </w:r>
      <w:proofErr w:type="spellEnd"/>
      <w:r>
        <w:rPr>
          <w:spacing w:val="2"/>
        </w:rPr>
        <w:t xml:space="preserve">). Eliminacja kosztów transakcyjnych i ryzyka walutowego stanowią czynnik wspierający intensyfikację wymiany handlowej. Wspólna waluta w transakcjach bezgotówkowych wprowadzona została </w:t>
      </w:r>
      <w:r w:rsidR="0077256C">
        <w:rPr>
          <w:spacing w:val="2"/>
        </w:rPr>
        <w:t>1 stycznia 1999 roku, a w formie gotówkowej od 1 stycznia 2002 roku, stając się prawnym środkiem płatniczym w dwunastu państwach UE15. W 2007 roku do unii monetarnej przystąpiła Słowenia, w 2008 roku – Cypr i Malta, a następnie Słowacja (2009 rok), Estonia (2011 rok), Łotwa (2014 rok) oraz Litwa (2015 rok).</w:t>
      </w:r>
    </w:p>
    <w:p w:rsidR="00AD0C35" w:rsidRDefault="00044F99" w:rsidP="0062737F">
      <w:pPr>
        <w:jc w:val="both"/>
        <w:rPr>
          <w:spacing w:val="2"/>
        </w:rPr>
      </w:pPr>
      <w:r>
        <w:rPr>
          <w:spacing w:val="2"/>
        </w:rPr>
        <w:t xml:space="preserve">Przyjęte do analizy obserwacje wartości eksportu </w:t>
      </w:r>
      <w:r w:rsidR="00312D5F">
        <w:rPr>
          <w:spacing w:val="2"/>
        </w:rPr>
        <w:t xml:space="preserve">i zmiennych określających jego poziom </w:t>
      </w:r>
      <w:r>
        <w:rPr>
          <w:spacing w:val="2"/>
        </w:rPr>
        <w:t xml:space="preserve">dla par krajów UE28 w okresie 1995-2015 stanowią </w:t>
      </w:r>
      <w:r w:rsidR="00375A52">
        <w:rPr>
          <w:spacing w:val="2"/>
        </w:rPr>
        <w:t xml:space="preserve">zespół danych czasowo-przekrojowych. Klasycznej metody najmniejszych kwadratów dla oceny istotności oddziaływania poszczególnych zmiennych niezależnych użyć można wówczas, gdy nie występują efekty indywidualne </w:t>
      </w:r>
      <w:r w:rsidR="00F9357B">
        <w:rPr>
          <w:spacing w:val="2"/>
        </w:rPr>
        <w:t>specyficzne dla poszczególnych par krajów, których nie można wyjaśnić wyłącznie poprzez skalę oddziaływania przyjętych do obserwacji zmiennych niezależnych</w:t>
      </w:r>
      <w:r w:rsidR="00F51184">
        <w:rPr>
          <w:spacing w:val="2"/>
        </w:rPr>
        <w:t>, oraz wówczas gdy nie zachodzą zmiany analizowanego zjawiska w czasie.</w:t>
      </w:r>
      <w:r w:rsidR="00373342">
        <w:rPr>
          <w:spacing w:val="2"/>
        </w:rPr>
        <w:t xml:space="preserve"> Wówczas przyjęte do analizy wartości traktowane są jak dane przekrojowe (Kufel, 2013, s 174).</w:t>
      </w:r>
      <w:r w:rsidR="0071604D">
        <w:rPr>
          <w:spacing w:val="2"/>
        </w:rPr>
        <w:t xml:space="preserve"> Można jednak przyjąć, że na kształt stosunków handlowych pomiędzy poszczególnymi parami krajów mają wpływ czynniki właściwe </w:t>
      </w:r>
      <w:r w:rsidR="00EE37D5">
        <w:rPr>
          <w:spacing w:val="2"/>
        </w:rPr>
        <w:t>wyłącznie dla pojedynczych par.</w:t>
      </w:r>
      <w:r w:rsidR="00E44DD0">
        <w:rPr>
          <w:spacing w:val="2"/>
        </w:rPr>
        <w:t xml:space="preserve"> Po to</w:t>
      </w:r>
      <w:r w:rsidR="00C34D44">
        <w:rPr>
          <w:spacing w:val="2"/>
        </w:rPr>
        <w:t xml:space="preserve"> aby uwzględnić ten aspekt</w:t>
      </w:r>
      <w:r w:rsidR="00E44DD0">
        <w:rPr>
          <w:spacing w:val="2"/>
        </w:rPr>
        <w:t>,</w:t>
      </w:r>
      <w:r w:rsidR="00C34D44">
        <w:rPr>
          <w:spacing w:val="2"/>
        </w:rPr>
        <w:t xml:space="preserve"> analizę przeprowadzono na danych panelowych, tworząc dla każdej pary krajów grupę</w:t>
      </w:r>
      <w:r w:rsidR="00312D5F">
        <w:rPr>
          <w:spacing w:val="2"/>
        </w:rPr>
        <w:t xml:space="preserve"> z</w:t>
      </w:r>
      <w:r w:rsidR="00C34D44">
        <w:rPr>
          <w:spacing w:val="2"/>
        </w:rPr>
        <w:t xml:space="preserve"> liczbą obserwacji odpowiadającą długości okresu badawczego, który obejmował 21 lat. W efekcie uzyskano 756 grup, stanowiących kombinację par krajów UE28</w:t>
      </w:r>
      <w:r w:rsidR="00312D5F">
        <w:rPr>
          <w:spacing w:val="2"/>
        </w:rPr>
        <w:t xml:space="preserve"> oraz 21 obserwacji w każdej z nich (łącznie 15876 obserwacji).</w:t>
      </w:r>
    </w:p>
    <w:p w:rsidR="00AD641B" w:rsidRDefault="00AD0C35" w:rsidP="0062737F">
      <w:pPr>
        <w:jc w:val="both"/>
        <w:rPr>
          <w:spacing w:val="2"/>
        </w:rPr>
      </w:pPr>
      <w:r>
        <w:rPr>
          <w:spacing w:val="2"/>
        </w:rPr>
        <w:t xml:space="preserve">W badaniu przyjęto </w:t>
      </w:r>
      <w:r w:rsidR="00312D5F">
        <w:rPr>
          <w:spacing w:val="2"/>
        </w:rPr>
        <w:t xml:space="preserve">zatem następującą </w:t>
      </w:r>
      <w:r>
        <w:rPr>
          <w:spacing w:val="2"/>
        </w:rPr>
        <w:t>zlinearyzowaną postać modelu grawitacyjnego:</w:t>
      </w:r>
    </w:p>
    <w:p w:rsidR="00AD0C35" w:rsidRDefault="00312D5F" w:rsidP="0062737F">
      <w:pPr>
        <w:jc w:val="both"/>
        <w:rPr>
          <w:rFonts w:eastAsiaTheme="minorEastAsia"/>
          <w:spacing w:val="2"/>
        </w:rPr>
      </w:pPr>
      <m:oMath>
        <m:r>
          <w:rPr>
            <w:rFonts w:ascii="Cambria Math" w:hAnsi="Cambria Math"/>
            <w:spacing w:val="2"/>
          </w:rPr>
          <w:lastRenderedPageBreak/>
          <m:t>ln</m:t>
        </m:r>
        <m:sSub>
          <m:sSubPr>
            <m:ctrlPr>
              <w:rPr>
                <w:rFonts w:ascii="Cambria Math" w:hAnsi="Cambria Math"/>
                <w:i/>
                <w:spacing w:val="2"/>
              </w:rPr>
            </m:ctrlPr>
          </m:sSubPr>
          <m:e>
            <m:r>
              <w:rPr>
                <w:rFonts w:ascii="Cambria Math" w:hAnsi="Cambria Math"/>
                <w:spacing w:val="2"/>
              </w:rPr>
              <m:t>E</m:t>
            </m:r>
          </m:e>
          <m:sub>
            <m:r>
              <w:rPr>
                <w:rFonts w:ascii="Cambria Math" w:hAnsi="Cambria Math"/>
                <w:spacing w:val="2"/>
              </w:rPr>
              <m:t>ijt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o</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1</m:t>
            </m:r>
          </m:sub>
        </m:sSub>
        <m:r>
          <w:rPr>
            <w:rFonts w:ascii="Cambria Math" w:hAnsi="Cambria Math"/>
            <w:spacing w:val="2"/>
          </w:rPr>
          <m:t>ln</m:t>
        </m:r>
        <m:sSub>
          <m:sSubPr>
            <m:ctrlPr>
              <w:rPr>
                <w:rFonts w:ascii="Cambria Math" w:hAnsi="Cambria Math"/>
                <w:i/>
                <w:spacing w:val="2"/>
              </w:rPr>
            </m:ctrlPr>
          </m:sSubPr>
          <m:e>
            <m:r>
              <w:rPr>
                <w:rFonts w:ascii="Cambria Math" w:hAnsi="Cambria Math"/>
                <w:spacing w:val="2"/>
              </w:rPr>
              <m:t>PKB</m:t>
            </m:r>
          </m:e>
          <m:sub>
            <m:r>
              <w:rPr>
                <w:rFonts w:ascii="Cambria Math" w:hAnsi="Cambria Math"/>
                <w:spacing w:val="2"/>
              </w:rPr>
              <m:t>it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2</m:t>
            </m:r>
          </m:sub>
        </m:sSub>
        <m:r>
          <w:rPr>
            <w:rFonts w:ascii="Cambria Math" w:hAnsi="Cambria Math"/>
            <w:spacing w:val="2"/>
          </w:rPr>
          <m:t>ln</m:t>
        </m:r>
        <m:sSub>
          <m:sSubPr>
            <m:ctrlPr>
              <w:rPr>
                <w:rFonts w:ascii="Cambria Math" w:hAnsi="Cambria Math"/>
                <w:i/>
                <w:spacing w:val="2"/>
              </w:rPr>
            </m:ctrlPr>
          </m:sSubPr>
          <m:e>
            <m:r>
              <w:rPr>
                <w:rFonts w:ascii="Cambria Math" w:hAnsi="Cambria Math"/>
                <w:spacing w:val="2"/>
              </w:rPr>
              <m:t>PKB</m:t>
            </m:r>
          </m:e>
          <m:sub>
            <m:r>
              <w:rPr>
                <w:rFonts w:ascii="Cambria Math" w:hAnsi="Cambria Math"/>
                <w:spacing w:val="2"/>
              </w:rPr>
              <m:t>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3</m:t>
            </m:r>
          </m:sub>
        </m:sSub>
        <m:r>
          <w:rPr>
            <w:rFonts w:ascii="Cambria Math" w:hAnsi="Cambria Math"/>
            <w:spacing w:val="2"/>
          </w:rPr>
          <m:t>ln</m:t>
        </m:r>
        <m:sSub>
          <m:sSubPr>
            <m:ctrlPr>
              <w:rPr>
                <w:rFonts w:ascii="Cambria Math" w:hAnsi="Cambria Math"/>
                <w:i/>
                <w:spacing w:val="2"/>
              </w:rPr>
            </m:ctrlPr>
          </m:sSubPr>
          <m:e>
            <m:r>
              <w:rPr>
                <w:rFonts w:ascii="Cambria Math" w:hAnsi="Cambria Math"/>
                <w:spacing w:val="2"/>
              </w:rPr>
              <m:t>PKBpc</m:t>
            </m:r>
          </m:e>
          <m:sub>
            <m:r>
              <w:rPr>
                <w:rFonts w:ascii="Cambria Math" w:hAnsi="Cambria Math"/>
                <w:spacing w:val="2"/>
              </w:rPr>
              <m:t>it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4</m:t>
            </m:r>
          </m:sub>
        </m:sSub>
        <m:r>
          <w:rPr>
            <w:rFonts w:ascii="Cambria Math" w:hAnsi="Cambria Math"/>
            <w:spacing w:val="2"/>
          </w:rPr>
          <m:t>ln</m:t>
        </m:r>
        <m:sSub>
          <m:sSubPr>
            <m:ctrlPr>
              <w:rPr>
                <w:rFonts w:ascii="Cambria Math" w:hAnsi="Cambria Math"/>
                <w:i/>
                <w:spacing w:val="2"/>
              </w:rPr>
            </m:ctrlPr>
          </m:sSubPr>
          <m:e>
            <m:r>
              <w:rPr>
                <w:rFonts w:ascii="Cambria Math" w:hAnsi="Cambria Math"/>
                <w:spacing w:val="2"/>
              </w:rPr>
              <m:t>PKBpc</m:t>
            </m:r>
          </m:e>
          <m:sub>
            <m:r>
              <w:rPr>
                <w:rFonts w:ascii="Cambria Math" w:hAnsi="Cambria Math"/>
                <w:spacing w:val="2"/>
              </w:rPr>
              <m:t>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5</m:t>
            </m:r>
          </m:sub>
        </m:sSub>
        <m:r>
          <w:rPr>
            <w:rFonts w:ascii="Cambria Math" w:hAnsi="Cambria Math"/>
            <w:spacing w:val="2"/>
          </w:rPr>
          <m:t>ln</m:t>
        </m:r>
        <m:sSub>
          <m:sSubPr>
            <m:ctrlPr>
              <w:rPr>
                <w:rFonts w:ascii="Cambria Math" w:hAnsi="Cambria Math"/>
                <w:i/>
                <w:spacing w:val="2"/>
              </w:rPr>
            </m:ctrlPr>
          </m:sSubPr>
          <m:e>
            <m:r>
              <w:rPr>
                <w:rFonts w:ascii="Cambria Math" w:hAnsi="Cambria Math"/>
                <w:spacing w:val="2"/>
              </w:rPr>
              <m:t>DistPKB</m:t>
            </m:r>
          </m:e>
          <m:sub>
            <m:r>
              <w:rPr>
                <w:rFonts w:ascii="Cambria Math" w:hAnsi="Cambria Math"/>
                <w:spacing w:val="2"/>
              </w:rPr>
              <m:t>ijt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6</m:t>
            </m:r>
          </m:sub>
        </m:sSub>
        <m:r>
          <w:rPr>
            <w:rFonts w:ascii="Cambria Math" w:hAnsi="Cambria Math"/>
            <w:spacing w:val="2"/>
          </w:rPr>
          <m:t>ln</m:t>
        </m:r>
        <m:sSub>
          <m:sSubPr>
            <m:ctrlPr>
              <w:rPr>
                <w:rFonts w:ascii="Cambria Math" w:hAnsi="Cambria Math"/>
                <w:i/>
                <w:spacing w:val="2"/>
              </w:rPr>
            </m:ctrlPr>
          </m:sSubPr>
          <m:e>
            <m:r>
              <w:rPr>
                <w:rFonts w:ascii="Cambria Math" w:hAnsi="Cambria Math"/>
                <w:spacing w:val="2"/>
              </w:rPr>
              <m:t>DistPKBpc</m:t>
            </m:r>
          </m:e>
          <m:sub>
            <m:r>
              <w:rPr>
                <w:rFonts w:ascii="Cambria Math" w:hAnsi="Cambria Math"/>
                <w:spacing w:val="2"/>
              </w:rPr>
              <m:t>ijt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7</m:t>
            </m:r>
          </m:sub>
        </m:sSub>
        <m:r>
          <w:rPr>
            <w:rFonts w:ascii="Cambria Math" w:hAnsi="Cambria Math"/>
            <w:spacing w:val="2"/>
          </w:rPr>
          <m:t>ln</m:t>
        </m:r>
        <m:sSub>
          <m:sSubPr>
            <m:ctrlPr>
              <w:rPr>
                <w:rFonts w:ascii="Cambria Math" w:hAnsi="Cambria Math"/>
                <w:i/>
                <w:spacing w:val="2"/>
              </w:rPr>
            </m:ctrlPr>
          </m:sSubPr>
          <m:e>
            <m:r>
              <w:rPr>
                <w:rFonts w:ascii="Cambria Math" w:hAnsi="Cambria Math"/>
                <w:spacing w:val="2"/>
              </w:rPr>
              <m:t>Dist</m:t>
            </m:r>
          </m:e>
          <m:sub>
            <m:r>
              <w:rPr>
                <w:rFonts w:ascii="Cambria Math" w:hAnsi="Cambria Math"/>
                <w:spacing w:val="2"/>
              </w:rPr>
              <m:t>ijt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8</m:t>
            </m:r>
          </m:sub>
        </m:sSub>
        <m:sSub>
          <m:sSubPr>
            <m:ctrlPr>
              <w:rPr>
                <w:rFonts w:ascii="Cambria Math" w:hAnsi="Cambria Math"/>
                <w:i/>
                <w:spacing w:val="2"/>
              </w:rPr>
            </m:ctrlPr>
          </m:sSubPr>
          <m:e>
            <m:r>
              <w:rPr>
                <w:rFonts w:ascii="Cambria Math" w:hAnsi="Cambria Math"/>
                <w:spacing w:val="2"/>
              </w:rPr>
              <m:t>G</m:t>
            </m:r>
          </m:e>
          <m:sub>
            <m:r>
              <w:rPr>
                <w:rFonts w:ascii="Cambria Math" w:hAnsi="Cambria Math"/>
                <w:spacing w:val="2"/>
              </w:rPr>
              <m:t>ijt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9</m:t>
            </m:r>
          </m:sub>
        </m:sSub>
        <m:sSub>
          <m:sSubPr>
            <m:ctrlPr>
              <w:rPr>
                <w:rFonts w:ascii="Cambria Math" w:hAnsi="Cambria Math"/>
                <w:i/>
                <w:spacing w:val="2"/>
              </w:rPr>
            </m:ctrlPr>
          </m:sSubPr>
          <m:e>
            <m:r>
              <w:rPr>
                <w:rFonts w:ascii="Cambria Math" w:hAnsi="Cambria Math"/>
                <w:spacing w:val="2"/>
              </w:rPr>
              <m:t>UE</m:t>
            </m:r>
          </m:e>
          <m:sub>
            <m:r>
              <w:rPr>
                <w:rFonts w:ascii="Cambria Math" w:hAnsi="Cambria Math"/>
                <w:spacing w:val="2"/>
              </w:rPr>
              <m:t>ijt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10</m:t>
            </m:r>
          </m:sub>
        </m:sSub>
        <m:sSub>
          <m:sSubPr>
            <m:ctrlPr>
              <w:rPr>
                <w:rFonts w:ascii="Cambria Math" w:hAnsi="Cambria Math"/>
                <w:i/>
                <w:spacing w:val="2"/>
              </w:rPr>
            </m:ctrlPr>
          </m:sSubPr>
          <m:e>
            <m:r>
              <w:rPr>
                <w:rFonts w:ascii="Cambria Math" w:hAnsi="Cambria Math"/>
                <w:spacing w:val="2"/>
              </w:rPr>
              <m:t>Euro</m:t>
            </m:r>
          </m:e>
          <m:sub>
            <m:r>
              <w:rPr>
                <w:rFonts w:ascii="Cambria Math" w:hAnsi="Cambria Math"/>
                <w:spacing w:val="2"/>
              </w:rPr>
              <m:t>ijt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ε</m:t>
            </m:r>
          </m:e>
          <m:sub>
            <m:r>
              <w:rPr>
                <w:rFonts w:ascii="Cambria Math" w:hAnsi="Cambria Math"/>
                <w:spacing w:val="2"/>
              </w:rPr>
              <m:t>ijt</m:t>
            </m:r>
          </m:sub>
        </m:sSub>
      </m:oMath>
      <w:r w:rsidR="002B38C9">
        <w:rPr>
          <w:rFonts w:eastAsiaTheme="minorEastAsia"/>
          <w:spacing w:val="2"/>
        </w:rPr>
        <w:t xml:space="preserve"> </w:t>
      </w:r>
      <w:r w:rsidR="002B38C9">
        <w:rPr>
          <w:rFonts w:eastAsiaTheme="minorEastAsia"/>
          <w:spacing w:val="2"/>
        </w:rPr>
        <w:tab/>
      </w:r>
      <w:r w:rsidR="002B38C9">
        <w:rPr>
          <w:rFonts w:eastAsiaTheme="minorEastAsia"/>
          <w:spacing w:val="2"/>
        </w:rPr>
        <w:tab/>
        <w:t>(5</w:t>
      </w:r>
      <w:r w:rsidR="002B035B">
        <w:rPr>
          <w:rFonts w:eastAsiaTheme="minorEastAsia"/>
          <w:spacing w:val="2"/>
        </w:rPr>
        <w:t>)</w:t>
      </w:r>
    </w:p>
    <w:p w:rsidR="002B035B" w:rsidRDefault="002B035B" w:rsidP="0062737F">
      <w:pPr>
        <w:jc w:val="both"/>
        <w:rPr>
          <w:rFonts w:eastAsiaTheme="minorEastAsia"/>
          <w:spacing w:val="2"/>
        </w:rPr>
      </w:pPr>
      <w:r>
        <w:rPr>
          <w:rFonts w:eastAsiaTheme="minorEastAsia"/>
          <w:spacing w:val="2"/>
        </w:rPr>
        <w:t xml:space="preserve">gdzie </w:t>
      </w:r>
      <w:r w:rsidR="00B807F7" w:rsidRPr="00B807F7">
        <w:rPr>
          <w:rFonts w:eastAsiaTheme="minorEastAsia"/>
          <w:i/>
          <w:spacing w:val="2"/>
        </w:rPr>
        <w:t>E</w:t>
      </w:r>
      <w:r w:rsidR="00B807F7">
        <w:rPr>
          <w:rFonts w:eastAsiaTheme="minorEastAsia"/>
          <w:spacing w:val="2"/>
        </w:rPr>
        <w:t xml:space="preserve"> oznacza eksport kraju </w:t>
      </w:r>
      <w:r w:rsidR="00B807F7" w:rsidRPr="00B807F7">
        <w:rPr>
          <w:rFonts w:eastAsiaTheme="minorEastAsia"/>
          <w:i/>
          <w:spacing w:val="2"/>
        </w:rPr>
        <w:t>i</w:t>
      </w:r>
      <w:r w:rsidR="00B807F7">
        <w:rPr>
          <w:rFonts w:eastAsiaTheme="minorEastAsia"/>
          <w:spacing w:val="2"/>
        </w:rPr>
        <w:t xml:space="preserve"> do kraju </w:t>
      </w:r>
      <w:r w:rsidR="00B807F7" w:rsidRPr="00B807F7">
        <w:rPr>
          <w:rFonts w:eastAsiaTheme="minorEastAsia"/>
          <w:i/>
          <w:spacing w:val="2"/>
        </w:rPr>
        <w:t>j</w:t>
      </w:r>
      <w:r w:rsidR="00B807F7">
        <w:rPr>
          <w:rFonts w:eastAsiaTheme="minorEastAsia"/>
          <w:spacing w:val="2"/>
        </w:rPr>
        <w:t xml:space="preserve">, </w:t>
      </w:r>
      <w:r w:rsidRPr="002B035B">
        <w:rPr>
          <w:rFonts w:eastAsiaTheme="minorEastAsia"/>
          <w:i/>
          <w:spacing w:val="2"/>
        </w:rPr>
        <w:t>a</w:t>
      </w:r>
      <w:r w:rsidRPr="002B035B">
        <w:rPr>
          <w:rFonts w:eastAsiaTheme="minorEastAsia"/>
          <w:i/>
          <w:spacing w:val="2"/>
          <w:vertAlign w:val="subscript"/>
        </w:rPr>
        <w:t>0</w:t>
      </w:r>
      <w:r w:rsidR="00B807F7">
        <w:rPr>
          <w:rFonts w:eastAsiaTheme="minorEastAsia"/>
          <w:spacing w:val="2"/>
        </w:rPr>
        <w:t xml:space="preserve"> </w:t>
      </w:r>
      <w:r>
        <w:rPr>
          <w:rFonts w:eastAsiaTheme="minorEastAsia"/>
          <w:spacing w:val="2"/>
        </w:rPr>
        <w:t xml:space="preserve"> stałą, </w:t>
      </w:r>
      <w:r w:rsidRPr="002B035B">
        <w:rPr>
          <w:rFonts w:eastAsiaTheme="minorEastAsia"/>
          <w:i/>
          <w:spacing w:val="2"/>
        </w:rPr>
        <w:t>a</w:t>
      </w:r>
      <w:r w:rsidRPr="002B035B">
        <w:rPr>
          <w:rFonts w:eastAsiaTheme="minorEastAsia"/>
          <w:i/>
          <w:spacing w:val="2"/>
          <w:vertAlign w:val="subscript"/>
        </w:rPr>
        <w:t>1</w:t>
      </w:r>
      <w:r w:rsidR="001D7C36">
        <w:rPr>
          <w:rFonts w:eastAsiaTheme="minorEastAsia"/>
          <w:i/>
          <w:spacing w:val="2"/>
        </w:rPr>
        <w:t>,</w:t>
      </w:r>
      <w:r w:rsidRPr="002B035B">
        <w:rPr>
          <w:rFonts w:eastAsiaTheme="minorEastAsia"/>
          <w:i/>
          <w:spacing w:val="2"/>
        </w:rPr>
        <w:t>…</w:t>
      </w:r>
      <w:r w:rsidR="001D7C36">
        <w:rPr>
          <w:rFonts w:eastAsiaTheme="minorEastAsia"/>
          <w:i/>
          <w:spacing w:val="2"/>
        </w:rPr>
        <w:t>,</w:t>
      </w:r>
      <w:r w:rsidRPr="002B035B">
        <w:rPr>
          <w:rFonts w:eastAsiaTheme="minorEastAsia"/>
          <w:i/>
          <w:spacing w:val="2"/>
        </w:rPr>
        <w:t>a</w:t>
      </w:r>
      <w:r w:rsidRPr="002B035B">
        <w:rPr>
          <w:rFonts w:eastAsiaTheme="minorEastAsia"/>
          <w:i/>
          <w:spacing w:val="2"/>
          <w:vertAlign w:val="subscript"/>
        </w:rPr>
        <w:t>10</w:t>
      </w:r>
      <w:r>
        <w:rPr>
          <w:rFonts w:eastAsiaTheme="minorEastAsia"/>
          <w:spacing w:val="2"/>
        </w:rPr>
        <w:t xml:space="preserve"> parametry strukturalne modelu dla opisanych wyżej zmiennych, natomiast </w:t>
      </w:r>
      <w:r w:rsidRPr="002B035B">
        <w:rPr>
          <w:rFonts w:eastAsiaTheme="minorEastAsia" w:cs="Times New Roman"/>
          <w:i/>
          <w:spacing w:val="2"/>
        </w:rPr>
        <w:t>Ɛ</w:t>
      </w:r>
      <w:r w:rsidR="001D7C36">
        <w:rPr>
          <w:rFonts w:eastAsiaTheme="minorEastAsia"/>
          <w:spacing w:val="2"/>
        </w:rPr>
        <w:t xml:space="preserve">- składnik losowy, </w:t>
      </w:r>
      <w:r w:rsidR="001D7C36" w:rsidRPr="001D7C36">
        <w:rPr>
          <w:rFonts w:eastAsiaTheme="minorEastAsia"/>
          <w:i/>
          <w:spacing w:val="2"/>
        </w:rPr>
        <w:t>t</w:t>
      </w:r>
      <w:r w:rsidR="001D7C36">
        <w:rPr>
          <w:rFonts w:eastAsiaTheme="minorEastAsia"/>
          <w:spacing w:val="2"/>
        </w:rPr>
        <w:t>=1,…,21.</w:t>
      </w:r>
    </w:p>
    <w:p w:rsidR="00274617" w:rsidRDefault="00274617" w:rsidP="0062737F">
      <w:pPr>
        <w:jc w:val="both"/>
        <w:rPr>
          <w:spacing w:val="2"/>
        </w:rPr>
      </w:pPr>
    </w:p>
    <w:p w:rsidR="00C54930" w:rsidRDefault="00C92797" w:rsidP="0062737F">
      <w:pPr>
        <w:jc w:val="both"/>
        <w:rPr>
          <w:spacing w:val="2"/>
        </w:rPr>
      </w:pPr>
      <w:r>
        <w:rPr>
          <w:spacing w:val="2"/>
        </w:rPr>
        <w:t>Analizę</w:t>
      </w:r>
      <w:r w:rsidR="00C54930">
        <w:rPr>
          <w:spacing w:val="2"/>
        </w:rPr>
        <w:t xml:space="preserve"> regresji dla danych panelowych można </w:t>
      </w:r>
      <w:r>
        <w:rPr>
          <w:spacing w:val="2"/>
        </w:rPr>
        <w:t>przeprowadzić</w:t>
      </w:r>
      <w:r w:rsidR="00C54930">
        <w:rPr>
          <w:spacing w:val="2"/>
        </w:rPr>
        <w:t xml:space="preserve"> przy założeniu braku efektów indywidualnych (model </w:t>
      </w:r>
      <w:proofErr w:type="spellStart"/>
      <w:r w:rsidR="00C54930" w:rsidRPr="00C54930">
        <w:rPr>
          <w:i/>
          <w:spacing w:val="2"/>
        </w:rPr>
        <w:t>pooled</w:t>
      </w:r>
      <w:proofErr w:type="spellEnd"/>
      <w:r w:rsidR="00C54930">
        <w:rPr>
          <w:spacing w:val="2"/>
        </w:rPr>
        <w:t>), zakładając jednorodność wszystkich analizowanych obiektów. Ponieważ jednak w praktyce założenie to jest trudne do spełnienia, w estymacji parametrów modelu opartego na danych panelowych wykorzystuje się dwa inne podstawowe podejścia (</w:t>
      </w:r>
      <w:proofErr w:type="spellStart"/>
      <w:r w:rsidR="00C54930">
        <w:rPr>
          <w:spacing w:val="2"/>
        </w:rPr>
        <w:t>Geise</w:t>
      </w:r>
      <w:proofErr w:type="spellEnd"/>
      <w:r w:rsidR="00C54930">
        <w:rPr>
          <w:spacing w:val="2"/>
        </w:rPr>
        <w:t>, 2013, s. 270).</w:t>
      </w:r>
      <w:r w:rsidR="00C81C11">
        <w:rPr>
          <w:spacing w:val="2"/>
        </w:rPr>
        <w:t xml:space="preserve"> Pierwsze z nich stanowi estymator efektów stałych (FE – </w:t>
      </w:r>
      <w:proofErr w:type="spellStart"/>
      <w:r w:rsidR="00C81C11" w:rsidRPr="00C81C11">
        <w:rPr>
          <w:i/>
          <w:spacing w:val="2"/>
        </w:rPr>
        <w:t>fixed</w:t>
      </w:r>
      <w:proofErr w:type="spellEnd"/>
      <w:r w:rsidR="00C81C11" w:rsidRPr="00C81C11">
        <w:rPr>
          <w:i/>
          <w:spacing w:val="2"/>
        </w:rPr>
        <w:t xml:space="preserve"> </w:t>
      </w:r>
      <w:proofErr w:type="spellStart"/>
      <w:r w:rsidR="00C81C11" w:rsidRPr="00C81C11">
        <w:rPr>
          <w:i/>
          <w:spacing w:val="2"/>
        </w:rPr>
        <w:t>effects</w:t>
      </w:r>
      <w:proofErr w:type="spellEnd"/>
      <w:r w:rsidR="00C81C11">
        <w:rPr>
          <w:spacing w:val="2"/>
        </w:rPr>
        <w:t xml:space="preserve">), który zakłada, że efekty indywidualne dla poszczególnych jednostek nie są przypadkowe i można je oszacować, a zatem ująć w różnicach pojawiających się w wyrazie wolnym. Drugim sposobem jest zastosowanie estymatora efektów losowych (RE – </w:t>
      </w:r>
      <w:r w:rsidR="00C81C11" w:rsidRPr="00E44DD0">
        <w:rPr>
          <w:i/>
          <w:spacing w:val="2"/>
        </w:rPr>
        <w:t xml:space="preserve">random </w:t>
      </w:r>
      <w:proofErr w:type="spellStart"/>
      <w:r w:rsidR="00C81C11" w:rsidRPr="00E44DD0">
        <w:rPr>
          <w:i/>
          <w:spacing w:val="2"/>
        </w:rPr>
        <w:t>effects</w:t>
      </w:r>
      <w:proofErr w:type="spellEnd"/>
      <w:r w:rsidR="00C81C11">
        <w:rPr>
          <w:spacing w:val="2"/>
        </w:rPr>
        <w:t>), który efekty indywidualne traktuje jako zmienne losowe i stanowią one element składnika losowego</w:t>
      </w:r>
      <w:r w:rsidR="00BE0945">
        <w:rPr>
          <w:spacing w:val="2"/>
        </w:rPr>
        <w:t xml:space="preserve"> (</w:t>
      </w:r>
      <w:proofErr w:type="spellStart"/>
      <w:r w:rsidR="00BE0945">
        <w:rPr>
          <w:spacing w:val="2"/>
        </w:rPr>
        <w:t>Salamaga</w:t>
      </w:r>
      <w:proofErr w:type="spellEnd"/>
      <w:r w:rsidR="00BE0945">
        <w:rPr>
          <w:spacing w:val="2"/>
        </w:rPr>
        <w:t>, 2010, s. 57)</w:t>
      </w:r>
      <w:r w:rsidR="00C81C11">
        <w:rPr>
          <w:spacing w:val="2"/>
        </w:rPr>
        <w:t>.</w:t>
      </w:r>
    </w:p>
    <w:p w:rsidR="00E44DD0" w:rsidRDefault="00E44DD0" w:rsidP="0062737F">
      <w:pPr>
        <w:jc w:val="both"/>
        <w:rPr>
          <w:spacing w:val="2"/>
        </w:rPr>
      </w:pPr>
      <w:r>
        <w:rPr>
          <w:spacing w:val="2"/>
        </w:rPr>
        <w:tab/>
        <w:t xml:space="preserve">Obliczeń dokonano z wykorzystaniem pakietu statystycznego </w:t>
      </w:r>
      <w:proofErr w:type="spellStart"/>
      <w:r>
        <w:rPr>
          <w:spacing w:val="2"/>
        </w:rPr>
        <w:t>Gretl</w:t>
      </w:r>
      <w:proofErr w:type="spellEnd"/>
      <w:r w:rsidR="00376787">
        <w:rPr>
          <w:spacing w:val="2"/>
        </w:rPr>
        <w:t>, szacując parametry modelu odrębnie dla strumieni eksportu każdej, wyróżnionej z uwagi na intensywność wykorzystania czynników wytwórczych, grupy towarowej.</w:t>
      </w:r>
      <w:r w:rsidR="00F5746C">
        <w:rPr>
          <w:spacing w:val="2"/>
        </w:rPr>
        <w:t xml:space="preserve"> Zmienne </w:t>
      </w:r>
      <w:r w:rsidR="00C92797">
        <w:rPr>
          <w:spacing w:val="2"/>
        </w:rPr>
        <w:t>nieistotne statystycznie</w:t>
      </w:r>
      <w:r w:rsidR="00F5746C">
        <w:rPr>
          <w:spacing w:val="2"/>
        </w:rPr>
        <w:t xml:space="preserve"> usuwano z modelu, a następnie ponawiano estymację parametrów.</w:t>
      </w:r>
    </w:p>
    <w:p w:rsidR="005A5997" w:rsidRDefault="00376787" w:rsidP="0062737F">
      <w:pPr>
        <w:jc w:val="both"/>
        <w:rPr>
          <w:spacing w:val="2"/>
        </w:rPr>
      </w:pPr>
      <w:r>
        <w:rPr>
          <w:spacing w:val="2"/>
        </w:rPr>
        <w:tab/>
        <w:t xml:space="preserve">W pierwszej kolejności dokonano estymacji modelu </w:t>
      </w:r>
      <w:proofErr w:type="spellStart"/>
      <w:r w:rsidRPr="00376787">
        <w:rPr>
          <w:i/>
          <w:spacing w:val="2"/>
        </w:rPr>
        <w:t>pooled</w:t>
      </w:r>
      <w:proofErr w:type="spellEnd"/>
      <w:r w:rsidR="00EA02B4">
        <w:rPr>
          <w:spacing w:val="2"/>
        </w:rPr>
        <w:t xml:space="preserve"> przy wykorzystaniu klasycznej metody najmniejszych kwadratów (KMNK).</w:t>
      </w:r>
      <w:r>
        <w:rPr>
          <w:spacing w:val="2"/>
        </w:rPr>
        <w:t xml:space="preserve"> Uzyskane rezultaty zamieszczono </w:t>
      </w:r>
      <w:r w:rsidR="00D962F1" w:rsidRPr="00E946BA">
        <w:rPr>
          <w:spacing w:val="2"/>
        </w:rPr>
        <w:t xml:space="preserve">w tabeli </w:t>
      </w:r>
      <w:r w:rsidR="00502FA5">
        <w:rPr>
          <w:spacing w:val="2"/>
        </w:rPr>
        <w:t>2</w:t>
      </w:r>
      <w:r w:rsidR="005A5997" w:rsidRPr="00E946BA">
        <w:rPr>
          <w:spacing w:val="2"/>
        </w:rPr>
        <w:t>.</w:t>
      </w:r>
    </w:p>
    <w:p w:rsidR="001F5042" w:rsidRDefault="001F5042" w:rsidP="0062737F">
      <w:pPr>
        <w:jc w:val="both"/>
        <w:rPr>
          <w:spacing w:val="2"/>
        </w:rPr>
      </w:pPr>
    </w:p>
    <w:p w:rsidR="00E946BA" w:rsidRDefault="001F5042" w:rsidP="00E946BA">
      <w:pPr>
        <w:jc w:val="both"/>
        <w:rPr>
          <w:spacing w:val="2"/>
        </w:rPr>
      </w:pPr>
      <w:r>
        <w:rPr>
          <w:spacing w:val="2"/>
        </w:rPr>
        <w:t>T</w:t>
      </w:r>
      <w:r w:rsidR="00502FA5">
        <w:rPr>
          <w:spacing w:val="2"/>
        </w:rPr>
        <w:t>abela 2</w:t>
      </w:r>
      <w:r>
        <w:rPr>
          <w:spacing w:val="2"/>
        </w:rPr>
        <w:t xml:space="preserve">. Wyniki szacowania parametrów modelu </w:t>
      </w:r>
      <w:proofErr w:type="spellStart"/>
      <w:r w:rsidRPr="001F5042">
        <w:rPr>
          <w:i/>
          <w:spacing w:val="2"/>
        </w:rPr>
        <w:t>pooled</w:t>
      </w:r>
      <w:proofErr w:type="spellEnd"/>
    </w:p>
    <w:tbl>
      <w:tblPr>
        <w:tblW w:w="7520" w:type="dxa"/>
        <w:tblInd w:w="57" w:type="dxa"/>
        <w:tblCellMar>
          <w:left w:w="70" w:type="dxa"/>
          <w:right w:w="70" w:type="dxa"/>
        </w:tblCellMar>
        <w:tblLook w:val="04A0"/>
      </w:tblPr>
      <w:tblGrid>
        <w:gridCol w:w="1180"/>
        <w:gridCol w:w="940"/>
        <w:gridCol w:w="1080"/>
        <w:gridCol w:w="1080"/>
        <w:gridCol w:w="1080"/>
        <w:gridCol w:w="1080"/>
        <w:gridCol w:w="1080"/>
      </w:tblGrid>
      <w:tr w:rsidR="00E946BA" w:rsidRPr="00E52604" w:rsidTr="00093FEE">
        <w:trPr>
          <w:trHeight w:val="28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Zmienna</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Parametr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5</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stała</w:t>
            </w:r>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0</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-2,247***</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-3,375***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-3,682***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-5,649***</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-5,976***</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w:t>
            </w:r>
            <w:r w:rsidRPr="00E52604">
              <w:rPr>
                <w:rFonts w:eastAsia="Times New Roman" w:cs="Times New Roman"/>
                <w:i/>
                <w:iCs/>
                <w:color w:val="000000"/>
                <w:sz w:val="20"/>
                <w:szCs w:val="20"/>
                <w:vertAlign w:val="subscript"/>
                <w:lang w:eastAsia="pl-PL"/>
              </w:rPr>
              <w:t>i</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1</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0,836***</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0,885***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0,971***</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0,840***</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0,961***</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0,674***</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0,788***</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0,754***</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0,715***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0,737***</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PKBpc</w:t>
            </w:r>
            <w:r w:rsidRPr="00E52604">
              <w:rPr>
                <w:rFonts w:eastAsia="Times New Roman" w:cs="Times New Roman"/>
                <w:i/>
                <w:iCs/>
                <w:color w:val="000000"/>
                <w:sz w:val="20"/>
                <w:szCs w:val="20"/>
                <w:vertAlign w:val="subscript"/>
                <w:lang w:eastAsia="pl-PL"/>
              </w:rPr>
              <w:t>i</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3</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-0,352***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-0,244***</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-0,198***</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0,107***</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-0,070***</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PKBpcj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4</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-0,188***</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-0,235***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-0,308***</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-0,365***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-0,197***</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DistPKB</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-0,013***</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DD55A0" w:rsidP="00093FEE">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946BA" w:rsidRPr="00E52604">
              <w:rPr>
                <w:rFonts w:eastAsia="Times New Roman" w:cs="Times New Roman"/>
                <w:color w:val="000000"/>
                <w:sz w:val="20"/>
                <w:szCs w:val="2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-0,040***</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-0,308***</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-0,017***</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DistPKBpc</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-0,084***</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-0,022***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-0,029***</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-0,086***</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-0,040***</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-1,031***</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-1,105***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-1,163***</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-1,013***</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-1,087***</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G</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8</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1,103***</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0,712***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0,756***</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0,456***</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0,499***</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UE</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9</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0,444***</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0,185***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0,379***</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0,379***</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0,050**</w:t>
            </w:r>
          </w:p>
        </w:tc>
      </w:tr>
      <w:tr w:rsidR="00E946BA"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lastRenderedPageBreak/>
              <w:t>Eur</w:t>
            </w:r>
            <w:r>
              <w:rPr>
                <w:rFonts w:eastAsia="Times New Roman" w:cs="Times New Roman"/>
                <w:i/>
                <w:iCs/>
                <w:color w:val="000000"/>
                <w:sz w:val="20"/>
                <w:szCs w:val="20"/>
                <w:lang w:eastAsia="pl-PL"/>
              </w:rPr>
              <w:t>o</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10</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0,110***</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-0,046***</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0,065***</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-0,122***</w:t>
            </w:r>
          </w:p>
        </w:tc>
      </w:tr>
      <w:tr w:rsidR="00E946BA" w:rsidRPr="00E52604" w:rsidTr="00093FEE">
        <w:trPr>
          <w:trHeight w:val="315"/>
        </w:trPr>
        <w:tc>
          <w:tcPr>
            <w:tcW w:w="2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R</w:t>
            </w:r>
            <w:r w:rsidRPr="00E52604">
              <w:rPr>
                <w:rFonts w:eastAsia="Times New Roman" w:cs="Times New Roman"/>
                <w:color w:val="000000"/>
                <w:sz w:val="20"/>
                <w:szCs w:val="20"/>
                <w:vertAlign w:val="superscript"/>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0,794</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0,862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0,849</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0,812</w:t>
            </w:r>
          </w:p>
        </w:tc>
        <w:tc>
          <w:tcPr>
            <w:tcW w:w="1080" w:type="dxa"/>
            <w:tcBorders>
              <w:top w:val="nil"/>
              <w:left w:val="nil"/>
              <w:bottom w:val="single" w:sz="4" w:space="0" w:color="auto"/>
              <w:right w:val="single" w:sz="4" w:space="0" w:color="auto"/>
            </w:tcBorders>
            <w:shd w:val="clear" w:color="auto" w:fill="auto"/>
            <w:noWrap/>
            <w:vAlign w:val="bottom"/>
            <w:hideMark/>
          </w:tcPr>
          <w:p w:rsidR="00E946BA" w:rsidRPr="00E52604" w:rsidRDefault="00E946BA"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0,851</w:t>
            </w:r>
          </w:p>
        </w:tc>
      </w:tr>
    </w:tbl>
    <w:p w:rsidR="001F5042" w:rsidRDefault="00F11E8F" w:rsidP="00E946BA">
      <w:pPr>
        <w:spacing w:line="240" w:lineRule="auto"/>
        <w:contextualSpacing/>
        <w:jc w:val="both"/>
        <w:rPr>
          <w:noProof/>
          <w:spacing w:val="-2"/>
          <w:sz w:val="20"/>
          <w:szCs w:val="20"/>
          <w:lang w:eastAsia="pl-PL"/>
        </w:rPr>
      </w:pPr>
      <w:r>
        <w:rPr>
          <w:noProof/>
          <w:spacing w:val="-2"/>
          <w:sz w:val="20"/>
          <w:szCs w:val="20"/>
          <w:lang w:eastAsia="pl-PL"/>
        </w:rPr>
        <w:t>Objaśnienie: * statystyczna istotność przy p&lt;0,1; ** statystyczna istotność przy p&lt;0,05; *** statystyczna istotność przy p&lt;0,01.</w:t>
      </w:r>
    </w:p>
    <w:p w:rsidR="00E946BA" w:rsidRDefault="00E946BA" w:rsidP="00E946BA">
      <w:pPr>
        <w:spacing w:line="240" w:lineRule="auto"/>
        <w:contextualSpacing/>
        <w:jc w:val="both"/>
        <w:rPr>
          <w:noProof/>
          <w:spacing w:val="-2"/>
          <w:sz w:val="20"/>
          <w:szCs w:val="20"/>
          <w:lang w:eastAsia="pl-PL"/>
        </w:rPr>
      </w:pPr>
      <w:r w:rsidRPr="002061E4">
        <w:rPr>
          <w:noProof/>
          <w:spacing w:val="-2"/>
          <w:sz w:val="20"/>
          <w:szCs w:val="20"/>
          <w:lang w:eastAsia="pl-PL"/>
        </w:rPr>
        <w:t>Kolumna 1- wyroby surowcochłonne; kolumna 2 – wyroby pracochłonne, kolumna 3 – wyroby kapitałochłonne; kolumna 4 – wyroby intensywne technologicznie łatwe do imitacji; kolumna 5 – wyroby intensywne technologicznie trrudne do imitacji.</w:t>
      </w:r>
    </w:p>
    <w:p w:rsidR="00BA2413" w:rsidRPr="002061E4" w:rsidRDefault="00BA2413" w:rsidP="00E946BA">
      <w:pPr>
        <w:spacing w:line="240" w:lineRule="auto"/>
        <w:contextualSpacing/>
        <w:jc w:val="both"/>
        <w:rPr>
          <w:noProof/>
          <w:spacing w:val="-2"/>
          <w:sz w:val="20"/>
          <w:szCs w:val="20"/>
          <w:lang w:eastAsia="pl-PL"/>
        </w:rPr>
      </w:pPr>
      <w:r>
        <w:rPr>
          <w:noProof/>
          <w:spacing w:val="-2"/>
          <w:sz w:val="20"/>
          <w:szCs w:val="20"/>
          <w:lang w:eastAsia="pl-PL"/>
        </w:rPr>
        <w:t>Czynniki nieistotne statystycznie usuwano z modelu.</w:t>
      </w:r>
    </w:p>
    <w:p w:rsidR="00E946BA" w:rsidRPr="002061E4" w:rsidRDefault="00E946BA" w:rsidP="00E946BA">
      <w:pPr>
        <w:spacing w:line="240" w:lineRule="auto"/>
        <w:contextualSpacing/>
        <w:jc w:val="both"/>
        <w:rPr>
          <w:noProof/>
          <w:spacing w:val="-2"/>
          <w:sz w:val="20"/>
          <w:szCs w:val="20"/>
          <w:lang w:eastAsia="pl-PL"/>
        </w:rPr>
      </w:pPr>
      <w:r w:rsidRPr="002061E4">
        <w:rPr>
          <w:noProof/>
          <w:spacing w:val="-2"/>
          <w:sz w:val="20"/>
          <w:szCs w:val="20"/>
          <w:lang w:eastAsia="pl-PL"/>
        </w:rPr>
        <w:t>Źródło: Obliczen</w:t>
      </w:r>
      <w:r>
        <w:rPr>
          <w:noProof/>
          <w:spacing w:val="-2"/>
          <w:sz w:val="20"/>
          <w:szCs w:val="20"/>
          <w:lang w:eastAsia="pl-PL"/>
        </w:rPr>
        <w:t>ia własne na podstawie (UNCTAD) i (EUROSTAT).</w:t>
      </w:r>
    </w:p>
    <w:p w:rsidR="005A5997" w:rsidRDefault="005A5997" w:rsidP="0062737F">
      <w:pPr>
        <w:jc w:val="both"/>
        <w:rPr>
          <w:spacing w:val="2"/>
        </w:rPr>
      </w:pPr>
    </w:p>
    <w:p w:rsidR="00E27278" w:rsidRDefault="00CE545F" w:rsidP="0062737F">
      <w:pPr>
        <w:jc w:val="both"/>
        <w:rPr>
          <w:spacing w:val="2"/>
        </w:rPr>
      </w:pPr>
      <w:r>
        <w:rPr>
          <w:spacing w:val="2"/>
        </w:rPr>
        <w:t xml:space="preserve">Następnie przeprowadzono testy diagnostyczne w celu ustalenia, czy model panelowy można estymować za pomocą </w:t>
      </w:r>
      <w:r w:rsidR="00EA02B4">
        <w:rPr>
          <w:spacing w:val="2"/>
        </w:rPr>
        <w:t>KMNK</w:t>
      </w:r>
      <w:r>
        <w:rPr>
          <w:spacing w:val="2"/>
        </w:rPr>
        <w:t xml:space="preserve">, czy też jednak – wobec występowania efektów indywidualnych dla poszczególnych par krajów – należy wykorzystać estymator o efektach stałych </w:t>
      </w:r>
      <w:r w:rsidR="00213CDD">
        <w:rPr>
          <w:spacing w:val="2"/>
        </w:rPr>
        <w:t>(F</w:t>
      </w:r>
      <w:r w:rsidR="00EA02B4">
        <w:rPr>
          <w:spacing w:val="2"/>
        </w:rPr>
        <w:t xml:space="preserve">E) </w:t>
      </w:r>
      <w:r>
        <w:rPr>
          <w:spacing w:val="2"/>
        </w:rPr>
        <w:t>lub losowych</w:t>
      </w:r>
      <w:r w:rsidR="00213CDD">
        <w:rPr>
          <w:spacing w:val="2"/>
        </w:rPr>
        <w:t xml:space="preserve"> (R</w:t>
      </w:r>
      <w:r w:rsidR="00EA02B4">
        <w:rPr>
          <w:spacing w:val="2"/>
        </w:rPr>
        <w:t>E)</w:t>
      </w:r>
      <w:r>
        <w:rPr>
          <w:spacing w:val="2"/>
        </w:rPr>
        <w:t>.</w:t>
      </w:r>
      <w:r w:rsidR="00EA02B4">
        <w:rPr>
          <w:spacing w:val="2"/>
        </w:rPr>
        <w:t xml:space="preserve"> </w:t>
      </w:r>
      <w:r w:rsidR="00213CDD">
        <w:rPr>
          <w:spacing w:val="2"/>
        </w:rPr>
        <w:t>O zasadności wykorzystania KMNK zamiast estymatora F</w:t>
      </w:r>
      <w:r w:rsidR="00EA02B4">
        <w:rPr>
          <w:spacing w:val="2"/>
        </w:rPr>
        <w:t xml:space="preserve">E przesądza test łącznej istotności nierówności średnich grupowych (test </w:t>
      </w:r>
      <w:proofErr w:type="spellStart"/>
      <w:r w:rsidR="00EA02B4">
        <w:rPr>
          <w:spacing w:val="2"/>
        </w:rPr>
        <w:t>Walda</w:t>
      </w:r>
      <w:proofErr w:type="spellEnd"/>
      <w:r w:rsidR="00EA02B4">
        <w:rPr>
          <w:spacing w:val="2"/>
        </w:rPr>
        <w:t xml:space="preserve">). Natomiast test </w:t>
      </w:r>
      <w:proofErr w:type="spellStart"/>
      <w:r w:rsidR="00EA02B4">
        <w:rPr>
          <w:spacing w:val="2"/>
        </w:rPr>
        <w:t>Breuscha-Pagana</w:t>
      </w:r>
      <w:proofErr w:type="spellEnd"/>
      <w:r w:rsidR="00EA02B4">
        <w:rPr>
          <w:spacing w:val="2"/>
        </w:rPr>
        <w:t xml:space="preserve"> pozwala na ustalenie, czy </w:t>
      </w:r>
      <w:r w:rsidR="00213CDD">
        <w:rPr>
          <w:spacing w:val="2"/>
        </w:rPr>
        <w:t>KMNK daje lepsze rezultaty od estymatora RE</w:t>
      </w:r>
      <w:r w:rsidR="00D6215A">
        <w:rPr>
          <w:spacing w:val="2"/>
        </w:rPr>
        <w:t xml:space="preserve"> (Martyniak, 2015, s. 86)</w:t>
      </w:r>
      <w:r w:rsidR="00213CDD">
        <w:rPr>
          <w:spacing w:val="2"/>
        </w:rPr>
        <w:t xml:space="preserve">. Dla wszystkich kategorii towarów, wyniki testów wskazały na </w:t>
      </w:r>
      <w:r w:rsidR="00D6215A">
        <w:rPr>
          <w:spacing w:val="2"/>
        </w:rPr>
        <w:t xml:space="preserve">potrzebę odrzucenia hipotezy mówiącej o przyjęciu modelu </w:t>
      </w:r>
      <w:proofErr w:type="spellStart"/>
      <w:r w:rsidR="00D6215A" w:rsidRPr="00D6215A">
        <w:rPr>
          <w:i/>
          <w:spacing w:val="2"/>
        </w:rPr>
        <w:t>pooled</w:t>
      </w:r>
      <w:proofErr w:type="spellEnd"/>
      <w:r w:rsidR="00D6215A">
        <w:rPr>
          <w:spacing w:val="2"/>
        </w:rPr>
        <w:t xml:space="preserve"> opartego o KMNK za poprawny </w:t>
      </w:r>
      <w:r w:rsidR="00C92797">
        <w:rPr>
          <w:spacing w:val="2"/>
        </w:rPr>
        <w:t>w związku z</w:t>
      </w:r>
      <w:r w:rsidR="00D6215A">
        <w:rPr>
          <w:spacing w:val="2"/>
        </w:rPr>
        <w:t xml:space="preserve"> istotności</w:t>
      </w:r>
      <w:r w:rsidR="00C92797">
        <w:rPr>
          <w:spacing w:val="2"/>
        </w:rPr>
        <w:t>ą</w:t>
      </w:r>
      <w:r w:rsidR="00D6215A">
        <w:rPr>
          <w:spacing w:val="2"/>
        </w:rPr>
        <w:t xml:space="preserve"> efektów stałych i losowych.</w:t>
      </w:r>
      <w:r w:rsidR="00047D45">
        <w:rPr>
          <w:spacing w:val="2"/>
        </w:rPr>
        <w:t xml:space="preserve"> Natomiast dla wyboru pomiędzy estymatorami FE i RE pomocny jest test Hausmana, badający występowanie korelacji między zmiennymi objaśniającymi a efektami losowymi</w:t>
      </w:r>
      <w:r w:rsidR="00C92797">
        <w:rPr>
          <w:spacing w:val="2"/>
        </w:rPr>
        <w:t xml:space="preserve"> (Kufel, 2013, s. 179). Wyniki testu Hausmana dla wszystkich grup produktów w</w:t>
      </w:r>
      <w:r w:rsidR="00170FCA">
        <w:rPr>
          <w:spacing w:val="2"/>
        </w:rPr>
        <w:t>ykazały wyższość estymatora efektów stałych FE.</w:t>
      </w:r>
      <w:r w:rsidR="00D66CB5">
        <w:rPr>
          <w:spacing w:val="2"/>
        </w:rPr>
        <w:t xml:space="preserve"> </w:t>
      </w:r>
      <w:r w:rsidR="00E27278">
        <w:rPr>
          <w:spacing w:val="2"/>
        </w:rPr>
        <w:t xml:space="preserve">Rezultaty uzyskane z wykorzystaniem estymatora FE zamieszczono w </w:t>
      </w:r>
      <w:r w:rsidR="00E27278" w:rsidRPr="001F5042">
        <w:rPr>
          <w:spacing w:val="2"/>
        </w:rPr>
        <w:t xml:space="preserve">tabeli </w:t>
      </w:r>
      <w:r w:rsidR="00502FA5">
        <w:rPr>
          <w:spacing w:val="2"/>
        </w:rPr>
        <w:t>3</w:t>
      </w:r>
      <w:r w:rsidR="00E27278" w:rsidRPr="001F5042">
        <w:rPr>
          <w:spacing w:val="2"/>
        </w:rPr>
        <w:t>.</w:t>
      </w:r>
      <w:r w:rsidR="00E27278">
        <w:rPr>
          <w:spacing w:val="2"/>
        </w:rPr>
        <w:t xml:space="preserve"> </w:t>
      </w:r>
    </w:p>
    <w:p w:rsidR="001F5042" w:rsidRDefault="001F5042" w:rsidP="0062737F">
      <w:pPr>
        <w:jc w:val="both"/>
        <w:rPr>
          <w:spacing w:val="2"/>
        </w:rPr>
      </w:pPr>
    </w:p>
    <w:p w:rsidR="00E27278" w:rsidRDefault="00502FA5" w:rsidP="00E27278">
      <w:pPr>
        <w:jc w:val="both"/>
        <w:rPr>
          <w:spacing w:val="2"/>
        </w:rPr>
      </w:pPr>
      <w:r>
        <w:rPr>
          <w:spacing w:val="2"/>
        </w:rPr>
        <w:t>Tabela 3</w:t>
      </w:r>
      <w:r w:rsidR="001F5042">
        <w:rPr>
          <w:spacing w:val="2"/>
        </w:rPr>
        <w:t>. Wyniki szacowania parametrów modelu z wykorzystaniem estymatora efektów stałych FE</w:t>
      </w:r>
    </w:p>
    <w:tbl>
      <w:tblPr>
        <w:tblW w:w="7520" w:type="dxa"/>
        <w:tblInd w:w="57" w:type="dxa"/>
        <w:tblCellMar>
          <w:left w:w="70" w:type="dxa"/>
          <w:right w:w="70" w:type="dxa"/>
        </w:tblCellMar>
        <w:tblLook w:val="04A0"/>
      </w:tblPr>
      <w:tblGrid>
        <w:gridCol w:w="1180"/>
        <w:gridCol w:w="940"/>
        <w:gridCol w:w="1080"/>
        <w:gridCol w:w="1080"/>
        <w:gridCol w:w="1080"/>
        <w:gridCol w:w="1080"/>
        <w:gridCol w:w="1080"/>
      </w:tblGrid>
      <w:tr w:rsidR="00E27278" w:rsidRPr="00E52604" w:rsidTr="00093FEE">
        <w:trPr>
          <w:trHeight w:val="28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Zmienna</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Parametr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5</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stała</w:t>
            </w:r>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0</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-8,596***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-2,975***</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-4,849***</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-5,086***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-5,451***</w:t>
            </w:r>
          </w:p>
        </w:tc>
      </w:tr>
      <w:tr w:rsidR="00EF1B74"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w:t>
            </w:r>
            <w:r w:rsidRPr="00E52604">
              <w:rPr>
                <w:rFonts w:eastAsia="Times New Roman" w:cs="Times New Roman"/>
                <w:i/>
                <w:iCs/>
                <w:color w:val="000000"/>
                <w:sz w:val="20"/>
                <w:szCs w:val="20"/>
                <w:vertAlign w:val="subscript"/>
                <w:lang w:eastAsia="pl-PL"/>
              </w:rPr>
              <w:t>i</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1</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0,748***</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0,752***</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0,864***</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0,792***</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0,874***</w:t>
            </w:r>
          </w:p>
        </w:tc>
      </w:tr>
      <w:tr w:rsidR="00EF1B74"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0,704***</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0,747***</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0,672***</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0,715***</w:t>
            </w:r>
          </w:p>
        </w:tc>
        <w:tc>
          <w:tcPr>
            <w:tcW w:w="1080" w:type="dxa"/>
            <w:tcBorders>
              <w:top w:val="nil"/>
              <w:left w:val="nil"/>
              <w:bottom w:val="single" w:sz="4" w:space="0" w:color="auto"/>
              <w:right w:val="single" w:sz="4" w:space="0" w:color="auto"/>
            </w:tcBorders>
            <w:shd w:val="clear" w:color="auto" w:fill="auto"/>
            <w:noWrap/>
            <w:vAlign w:val="bottom"/>
            <w:hideMark/>
          </w:tcPr>
          <w:p w:rsidR="00EF1B74" w:rsidRPr="00E52604" w:rsidRDefault="00EF1B74"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0,681***</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PKBpc</w:t>
            </w:r>
            <w:r w:rsidRPr="00E52604">
              <w:rPr>
                <w:rFonts w:eastAsia="Times New Roman" w:cs="Times New Roman"/>
                <w:i/>
                <w:iCs/>
                <w:color w:val="000000"/>
                <w:sz w:val="20"/>
                <w:szCs w:val="20"/>
                <w:vertAlign w:val="subscript"/>
                <w:lang w:eastAsia="pl-PL"/>
              </w:rPr>
              <w:t>i</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3</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1,499***</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2,939***</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2,192***</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1,475***</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-2,130***</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PKBpcj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4</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-0,570***</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0,401***</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0,661***</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0,837***</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1,037***</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DistPKB</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5</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DD55A0" w:rsidP="00093FEE">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27278" w:rsidRPr="00E52604">
              <w:rPr>
                <w:rFonts w:eastAsia="Times New Roman" w:cs="Times New Roman"/>
                <w:color w:val="000000"/>
                <w:sz w:val="20"/>
                <w:szCs w:val="2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-0,049***</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-0,018**</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-0,041***</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DistPKBpc</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-0,026***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DD55A0" w:rsidP="00093FEE">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27278" w:rsidRPr="00E52604">
              <w:rPr>
                <w:rFonts w:eastAsia="Times New Roman" w:cs="Times New Roman"/>
                <w:color w:val="000000"/>
                <w:sz w:val="20"/>
                <w:szCs w:val="20"/>
                <w:lang w:eastAsia="pl-PL"/>
              </w:rPr>
              <w:t> </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DD55A0" w:rsidP="00093FEE">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27278" w:rsidRPr="00E52604">
              <w:rPr>
                <w:rFonts w:eastAsia="Times New Roman" w:cs="Times New Roman"/>
                <w:color w:val="000000"/>
                <w:sz w:val="20"/>
                <w:szCs w:val="2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DD55A0" w:rsidP="00093FEE">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27278" w:rsidRPr="00E52604">
              <w:rPr>
                <w:rFonts w:eastAsia="Times New Roman" w:cs="Times New Roman"/>
                <w:color w:val="000000"/>
                <w:sz w:val="20"/>
                <w:szCs w:val="20"/>
                <w:lang w:eastAsia="pl-PL"/>
              </w:rPr>
              <w:t> </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G</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8</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UE</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9</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0,121***</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0,209***</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0,376***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0,038**</w:t>
            </w:r>
          </w:p>
        </w:tc>
      </w:tr>
      <w:tr w:rsidR="00E27278" w:rsidRPr="00E52604" w:rsidTr="00093FEE">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Eur</w:t>
            </w:r>
            <w:r>
              <w:rPr>
                <w:rFonts w:eastAsia="Times New Roman" w:cs="Times New Roman"/>
                <w:i/>
                <w:iCs/>
                <w:color w:val="000000"/>
                <w:sz w:val="20"/>
                <w:szCs w:val="20"/>
                <w:lang w:eastAsia="pl-PL"/>
              </w:rPr>
              <w:t>o</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10</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0,125***</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-0,046***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-0,031**</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0,199***</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r>
      <w:tr w:rsidR="00E27278" w:rsidRPr="00E52604" w:rsidTr="00093FEE">
        <w:trPr>
          <w:trHeight w:val="315"/>
        </w:trPr>
        <w:tc>
          <w:tcPr>
            <w:tcW w:w="2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R</w:t>
            </w:r>
            <w:r w:rsidRPr="00E52604">
              <w:rPr>
                <w:rFonts w:eastAsia="Times New Roman" w:cs="Times New Roman"/>
                <w:color w:val="000000"/>
                <w:sz w:val="20"/>
                <w:szCs w:val="20"/>
                <w:vertAlign w:val="superscript"/>
                <w:lang w:eastAsia="pl-PL"/>
              </w:rPr>
              <w:t xml:space="preserve">2 </w:t>
            </w:r>
            <w:r w:rsidRPr="00E52604">
              <w:rPr>
                <w:rFonts w:eastAsia="Times New Roman" w:cs="Times New Roman"/>
                <w:color w:val="000000"/>
                <w:sz w:val="20"/>
                <w:szCs w:val="20"/>
                <w:lang w:eastAsia="pl-PL"/>
              </w:rPr>
              <w:t>międzygrupowe</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0,961</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0,966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0,966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0,947</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0,960</w:t>
            </w:r>
          </w:p>
        </w:tc>
      </w:tr>
      <w:tr w:rsidR="00E27278" w:rsidRPr="00E52604" w:rsidTr="00093FEE">
        <w:trPr>
          <w:trHeight w:val="315"/>
        </w:trPr>
        <w:tc>
          <w:tcPr>
            <w:tcW w:w="2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lastRenderedPageBreak/>
              <w:t>R</w:t>
            </w:r>
            <w:r w:rsidRPr="00E52604">
              <w:rPr>
                <w:rFonts w:eastAsia="Times New Roman" w:cs="Times New Roman"/>
                <w:color w:val="000000"/>
                <w:sz w:val="20"/>
                <w:szCs w:val="20"/>
                <w:vertAlign w:val="superscript"/>
                <w:lang w:eastAsia="pl-PL"/>
              </w:rPr>
              <w:t xml:space="preserve">2 </w:t>
            </w:r>
            <w:r w:rsidRPr="00E52604">
              <w:rPr>
                <w:rFonts w:eastAsia="Times New Roman" w:cs="Times New Roman"/>
                <w:color w:val="000000"/>
                <w:sz w:val="20"/>
                <w:szCs w:val="20"/>
                <w:lang w:eastAsia="pl-PL"/>
              </w:rPr>
              <w:t>wewnątrzgrupowe</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0,585</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0,556</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0,605</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0,577</w:t>
            </w:r>
          </w:p>
        </w:tc>
        <w:tc>
          <w:tcPr>
            <w:tcW w:w="1080" w:type="dxa"/>
            <w:tcBorders>
              <w:top w:val="nil"/>
              <w:left w:val="nil"/>
              <w:bottom w:val="single" w:sz="4" w:space="0" w:color="auto"/>
              <w:right w:val="single" w:sz="4" w:space="0" w:color="auto"/>
            </w:tcBorders>
            <w:shd w:val="clear" w:color="auto" w:fill="auto"/>
            <w:noWrap/>
            <w:vAlign w:val="bottom"/>
            <w:hideMark/>
          </w:tcPr>
          <w:p w:rsidR="00E27278" w:rsidRPr="00E52604" w:rsidRDefault="00E27278" w:rsidP="00093FEE">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0,577</w:t>
            </w:r>
          </w:p>
        </w:tc>
      </w:tr>
    </w:tbl>
    <w:p w:rsidR="00F11E8F" w:rsidRDefault="00F11E8F" w:rsidP="00F11E8F">
      <w:pPr>
        <w:spacing w:line="240" w:lineRule="auto"/>
        <w:contextualSpacing/>
        <w:jc w:val="both"/>
        <w:rPr>
          <w:noProof/>
          <w:spacing w:val="-2"/>
          <w:sz w:val="20"/>
          <w:szCs w:val="20"/>
          <w:lang w:eastAsia="pl-PL"/>
        </w:rPr>
      </w:pPr>
      <w:r>
        <w:rPr>
          <w:noProof/>
          <w:spacing w:val="-2"/>
          <w:sz w:val="20"/>
          <w:szCs w:val="20"/>
          <w:lang w:eastAsia="pl-PL"/>
        </w:rPr>
        <w:t>Objaśnienie: * statystyczna istotność przy p&lt;0,1; ** statystyczna istotność przy p&lt;0,05; *** statystyczna istotność przy p&lt;0,01.</w:t>
      </w:r>
    </w:p>
    <w:p w:rsidR="00F11E8F" w:rsidRDefault="00F11E8F" w:rsidP="00F11E8F">
      <w:pPr>
        <w:spacing w:line="240" w:lineRule="auto"/>
        <w:contextualSpacing/>
        <w:jc w:val="both"/>
        <w:rPr>
          <w:noProof/>
          <w:spacing w:val="-2"/>
          <w:sz w:val="20"/>
          <w:szCs w:val="20"/>
          <w:lang w:eastAsia="pl-PL"/>
        </w:rPr>
      </w:pPr>
      <w:r w:rsidRPr="002061E4">
        <w:rPr>
          <w:noProof/>
          <w:spacing w:val="-2"/>
          <w:sz w:val="20"/>
          <w:szCs w:val="20"/>
          <w:lang w:eastAsia="pl-PL"/>
        </w:rPr>
        <w:t>Kolumna 1- wyroby surowcochłonne; kolumna 2 – wyroby pracochłonne, kolumna 3 – wyroby kapitałochłonne; kolumna 4 – wyroby intensywne technologicznie łatwe do imitacji; kolumna 5 – wyroby intensywne technologicznie trrudne do imitacji.</w:t>
      </w:r>
    </w:p>
    <w:p w:rsidR="00BA2413" w:rsidRPr="002061E4" w:rsidRDefault="00BA2413" w:rsidP="00F11E8F">
      <w:pPr>
        <w:spacing w:line="240" w:lineRule="auto"/>
        <w:contextualSpacing/>
        <w:jc w:val="both"/>
        <w:rPr>
          <w:noProof/>
          <w:spacing w:val="-2"/>
          <w:sz w:val="20"/>
          <w:szCs w:val="20"/>
          <w:lang w:eastAsia="pl-PL"/>
        </w:rPr>
      </w:pPr>
      <w:r>
        <w:rPr>
          <w:noProof/>
          <w:spacing w:val="-2"/>
          <w:sz w:val="20"/>
          <w:szCs w:val="20"/>
          <w:lang w:eastAsia="pl-PL"/>
        </w:rPr>
        <w:t>Czynniki nieistotne statystycznie usuwano z modelu.</w:t>
      </w:r>
    </w:p>
    <w:p w:rsidR="00F11E8F" w:rsidRPr="002061E4" w:rsidRDefault="00F11E8F" w:rsidP="00F11E8F">
      <w:pPr>
        <w:spacing w:line="240" w:lineRule="auto"/>
        <w:contextualSpacing/>
        <w:jc w:val="both"/>
        <w:rPr>
          <w:noProof/>
          <w:spacing w:val="-2"/>
          <w:sz w:val="20"/>
          <w:szCs w:val="20"/>
          <w:lang w:eastAsia="pl-PL"/>
        </w:rPr>
      </w:pPr>
      <w:r w:rsidRPr="002061E4">
        <w:rPr>
          <w:noProof/>
          <w:spacing w:val="-2"/>
          <w:sz w:val="20"/>
          <w:szCs w:val="20"/>
          <w:lang w:eastAsia="pl-PL"/>
        </w:rPr>
        <w:t>Źródło: Obliczen</w:t>
      </w:r>
      <w:r>
        <w:rPr>
          <w:noProof/>
          <w:spacing w:val="-2"/>
          <w:sz w:val="20"/>
          <w:szCs w:val="20"/>
          <w:lang w:eastAsia="pl-PL"/>
        </w:rPr>
        <w:t>ia własne na podstawie (UNCTAD) i (EUROSTAT).</w:t>
      </w:r>
    </w:p>
    <w:p w:rsidR="00E27278" w:rsidRDefault="00E27278" w:rsidP="0062737F">
      <w:pPr>
        <w:jc w:val="both"/>
        <w:rPr>
          <w:spacing w:val="2"/>
        </w:rPr>
      </w:pPr>
    </w:p>
    <w:p w:rsidR="00376787" w:rsidRPr="002B035B" w:rsidRDefault="00D77B50" w:rsidP="0062737F">
      <w:pPr>
        <w:jc w:val="both"/>
        <w:rPr>
          <w:spacing w:val="2"/>
        </w:rPr>
      </w:pPr>
      <w:r>
        <w:rPr>
          <w:spacing w:val="2"/>
        </w:rPr>
        <w:t>Ograniczeniem analizy z wykorzystaniem estymatora efektów stałych jest</w:t>
      </w:r>
      <w:r w:rsidR="00DD0790">
        <w:rPr>
          <w:spacing w:val="2"/>
        </w:rPr>
        <w:t xml:space="preserve"> jednak</w:t>
      </w:r>
      <w:r>
        <w:rPr>
          <w:spacing w:val="2"/>
        </w:rPr>
        <w:t>, z uwagi na współliniowo</w:t>
      </w:r>
      <w:r w:rsidR="00DD0790">
        <w:rPr>
          <w:spacing w:val="2"/>
        </w:rPr>
        <w:t>ść,</w:t>
      </w:r>
      <w:r>
        <w:rPr>
          <w:spacing w:val="2"/>
        </w:rPr>
        <w:t xml:space="preserve"> konieczność pominięcia w modelu tych zmiennych, których wartości są stałe w czasie dla każdej p</w:t>
      </w:r>
      <w:r w:rsidR="00DD0790">
        <w:rPr>
          <w:spacing w:val="2"/>
        </w:rPr>
        <w:t>ary krajów (</w:t>
      </w:r>
      <w:proofErr w:type="spellStart"/>
      <w:r w:rsidR="00DD0790">
        <w:rPr>
          <w:spacing w:val="2"/>
        </w:rPr>
        <w:t>Folfas</w:t>
      </w:r>
      <w:proofErr w:type="spellEnd"/>
      <w:r w:rsidR="00DD0790">
        <w:rPr>
          <w:spacing w:val="2"/>
        </w:rPr>
        <w:t>, 2012, s. 266</w:t>
      </w:r>
      <w:r>
        <w:rPr>
          <w:spacing w:val="2"/>
        </w:rPr>
        <w:t>)</w:t>
      </w:r>
      <w:r w:rsidR="00DD0790">
        <w:rPr>
          <w:spacing w:val="2"/>
        </w:rPr>
        <w:t>. W prowadzonej analizie dotyczyło to kluczowych dla modeli grawitacyjnych zmiennych takich jak odległość geograficzna i wspólna granica. Alternatywę stanowi w tej sytuacji estymator efektów losowych</w:t>
      </w:r>
      <w:r w:rsidR="00CC142E">
        <w:rPr>
          <w:spacing w:val="2"/>
        </w:rPr>
        <w:t xml:space="preserve"> (RE)</w:t>
      </w:r>
      <w:r w:rsidR="00DD0790">
        <w:rPr>
          <w:spacing w:val="2"/>
        </w:rPr>
        <w:t>, który wymaga jednak spełnienia dodatkowego założenia</w:t>
      </w:r>
      <w:r w:rsidR="00CC142E">
        <w:rPr>
          <w:spacing w:val="2"/>
        </w:rPr>
        <w:t xml:space="preserve"> o nieskorelowaniu zmiennych objaśniających z efektami indywidualnymi. </w:t>
      </w:r>
      <w:r w:rsidR="00E27278">
        <w:rPr>
          <w:spacing w:val="2"/>
        </w:rPr>
        <w:t>Z</w:t>
      </w:r>
      <w:r w:rsidR="00CC142E">
        <w:rPr>
          <w:spacing w:val="2"/>
        </w:rPr>
        <w:t xml:space="preserve">ałożenie to nie zostało </w:t>
      </w:r>
      <w:r w:rsidR="00E27278">
        <w:rPr>
          <w:spacing w:val="2"/>
        </w:rPr>
        <w:t xml:space="preserve">jednak </w:t>
      </w:r>
      <w:r w:rsidR="00CC142E">
        <w:rPr>
          <w:spacing w:val="2"/>
        </w:rPr>
        <w:t>spełnione.</w:t>
      </w:r>
      <w:r w:rsidR="00E27278">
        <w:rPr>
          <w:spacing w:val="2"/>
        </w:rPr>
        <w:t xml:space="preserve"> </w:t>
      </w:r>
      <w:r w:rsidR="00E627DD">
        <w:rPr>
          <w:spacing w:val="2"/>
        </w:rPr>
        <w:t>Istnieje również możliwość wykorzystania dynamicznych modeli panelowych</w:t>
      </w:r>
      <w:r w:rsidR="008C2337">
        <w:rPr>
          <w:spacing w:val="2"/>
        </w:rPr>
        <w:t>, w których zmienne objaśniające są zastępowane instrumentami, którymi są poziomy zmiennych, opóźnione o dwa lub więcej okresów (</w:t>
      </w:r>
      <w:proofErr w:type="spellStart"/>
      <w:r w:rsidR="008C2337">
        <w:rPr>
          <w:spacing w:val="2"/>
        </w:rPr>
        <w:t>Dańska-Borsiak</w:t>
      </w:r>
      <w:proofErr w:type="spellEnd"/>
      <w:r w:rsidR="008C2337">
        <w:rPr>
          <w:spacing w:val="2"/>
        </w:rPr>
        <w:t>, 2009, s. 27).</w:t>
      </w:r>
      <w:r w:rsidR="00B530C0">
        <w:rPr>
          <w:spacing w:val="2"/>
        </w:rPr>
        <w:t xml:space="preserve"> Wyniki estymacji panelowego modelu dynamicznego przedstawione zostały w </w:t>
      </w:r>
      <w:r w:rsidR="00967B5F" w:rsidRPr="00910413">
        <w:rPr>
          <w:spacing w:val="2"/>
        </w:rPr>
        <w:t xml:space="preserve">tabeli </w:t>
      </w:r>
      <w:r w:rsidR="00502FA5">
        <w:rPr>
          <w:spacing w:val="2"/>
        </w:rPr>
        <w:t>4</w:t>
      </w:r>
      <w:r w:rsidR="00B530C0" w:rsidRPr="00910413">
        <w:rPr>
          <w:spacing w:val="2"/>
        </w:rPr>
        <w:t>.</w:t>
      </w:r>
    </w:p>
    <w:p w:rsidR="005A5997" w:rsidRDefault="005A5997" w:rsidP="0062737F">
      <w:pPr>
        <w:jc w:val="both"/>
        <w:rPr>
          <w:spacing w:val="2"/>
        </w:rPr>
      </w:pPr>
    </w:p>
    <w:p w:rsidR="00E52604" w:rsidRDefault="00502FA5" w:rsidP="0062737F">
      <w:pPr>
        <w:jc w:val="both"/>
        <w:rPr>
          <w:spacing w:val="2"/>
        </w:rPr>
      </w:pPr>
      <w:r>
        <w:rPr>
          <w:spacing w:val="2"/>
        </w:rPr>
        <w:t>Tabela 4</w:t>
      </w:r>
      <w:r w:rsidR="001F5042">
        <w:rPr>
          <w:spacing w:val="2"/>
        </w:rPr>
        <w:t>. Wyniki szacowania parametrów modelu dynamicznego</w:t>
      </w:r>
    </w:p>
    <w:tbl>
      <w:tblPr>
        <w:tblW w:w="7520" w:type="dxa"/>
        <w:tblInd w:w="57" w:type="dxa"/>
        <w:tblCellMar>
          <w:left w:w="70" w:type="dxa"/>
          <w:right w:w="70" w:type="dxa"/>
        </w:tblCellMar>
        <w:tblLook w:val="04A0"/>
      </w:tblPr>
      <w:tblGrid>
        <w:gridCol w:w="1180"/>
        <w:gridCol w:w="940"/>
        <w:gridCol w:w="1080"/>
        <w:gridCol w:w="1080"/>
        <w:gridCol w:w="1080"/>
        <w:gridCol w:w="1080"/>
        <w:gridCol w:w="1080"/>
      </w:tblGrid>
      <w:tr w:rsidR="00E52604" w:rsidRPr="00E52604" w:rsidTr="00E52604">
        <w:trPr>
          <w:trHeight w:val="28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Zmienna</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Parametr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5</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stała</w:t>
            </w:r>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0</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-1,340***</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-3,151***</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-1,688***</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-0,586***</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-2,972***</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w:t>
            </w:r>
            <w:r w:rsidRPr="00E52604">
              <w:rPr>
                <w:rFonts w:eastAsia="Times New Roman" w:cs="Times New Roman"/>
                <w:i/>
                <w:iCs/>
                <w:color w:val="000000"/>
                <w:sz w:val="20"/>
                <w:szCs w:val="20"/>
                <w:vertAlign w:val="subscript"/>
                <w:lang w:eastAsia="pl-PL"/>
              </w:rPr>
              <w:t>i</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1</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0,472***</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0,912***</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0,493***</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0,171***</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0,553***</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0,382***</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0,810***</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0,383***</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0,149***</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0,425***</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PKBpc</w:t>
            </w:r>
            <w:r w:rsidRPr="00E52604">
              <w:rPr>
                <w:rFonts w:eastAsia="Times New Roman" w:cs="Times New Roman"/>
                <w:i/>
                <w:iCs/>
                <w:color w:val="000000"/>
                <w:sz w:val="20"/>
                <w:szCs w:val="20"/>
                <w:vertAlign w:val="subscript"/>
                <w:lang w:eastAsia="pl-PL"/>
              </w:rPr>
              <w:t>i</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3</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-0,195***</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-0,268***</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-0,107***</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DD55A0" w:rsidP="00E52604">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52604" w:rsidRPr="00E52604">
              <w:rPr>
                <w:rFonts w:eastAsia="Times New Roman" w:cs="Times New Roman"/>
                <w:color w:val="000000"/>
                <w:sz w:val="20"/>
                <w:szCs w:val="2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-0,063***</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PKBpcj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4</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-0,094***</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-0,257***</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-0,162***</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-0,099***</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-0,131***</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DistPKB</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5</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DD55A0" w:rsidP="00E52604">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52604" w:rsidRPr="00E52604">
              <w:rPr>
                <w:rFonts w:eastAsia="Times New Roman" w:cs="Times New Roman"/>
                <w:color w:val="000000"/>
                <w:sz w:val="20"/>
                <w:szCs w:val="2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DD55A0" w:rsidP="00E52604">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52604" w:rsidRPr="00E52604">
              <w:rPr>
                <w:rFonts w:eastAsia="Times New Roman" w:cs="Times New Roman"/>
                <w:color w:val="000000"/>
                <w:sz w:val="20"/>
                <w:szCs w:val="2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-0,591***</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-0,007*</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DD55A0" w:rsidP="00E52604">
            <w:pPr>
              <w:spacing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w:t>
            </w:r>
            <w:r w:rsidR="00E52604" w:rsidRPr="00E52604">
              <w:rPr>
                <w:rFonts w:eastAsia="Times New Roman" w:cs="Times New Roman"/>
                <w:color w:val="000000"/>
                <w:sz w:val="20"/>
                <w:szCs w:val="20"/>
                <w:lang w:eastAsia="pl-PL"/>
              </w:rPr>
              <w:t> </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DistPKBpc</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-0,040***</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-0,023*</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-0,012***</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-0,020***</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Dist</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-0,589***</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-1,136***</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-1,163***</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-0,216***</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-0,631***</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G</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8</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0,628***</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0,724***</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0,397***</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0,082***</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0,277***</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UE</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9</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0,236***</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0,095**</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0,145***</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0,098***</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r>
      <w:tr w:rsidR="00E52604" w:rsidRPr="00E52604" w:rsidTr="00E5260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rPr>
                <w:rFonts w:eastAsia="Times New Roman" w:cs="Times New Roman"/>
                <w:i/>
                <w:iCs/>
                <w:color w:val="000000"/>
                <w:sz w:val="20"/>
                <w:szCs w:val="20"/>
                <w:lang w:eastAsia="pl-PL"/>
              </w:rPr>
            </w:pPr>
            <w:proofErr w:type="spellStart"/>
            <w:r w:rsidRPr="00E52604">
              <w:rPr>
                <w:rFonts w:eastAsia="Times New Roman" w:cs="Times New Roman"/>
                <w:i/>
                <w:iCs/>
                <w:color w:val="000000"/>
                <w:sz w:val="20"/>
                <w:szCs w:val="20"/>
                <w:lang w:eastAsia="pl-PL"/>
              </w:rPr>
              <w:t>Eur</w:t>
            </w:r>
            <w:r>
              <w:rPr>
                <w:rFonts w:eastAsia="Times New Roman" w:cs="Times New Roman"/>
                <w:i/>
                <w:iCs/>
                <w:color w:val="000000"/>
                <w:sz w:val="20"/>
                <w:szCs w:val="20"/>
                <w:lang w:eastAsia="pl-PL"/>
              </w:rPr>
              <w:t>o</w:t>
            </w:r>
            <w:r w:rsidRPr="00E52604">
              <w:rPr>
                <w:rFonts w:eastAsia="Times New Roman" w:cs="Times New Roman"/>
                <w:i/>
                <w:iCs/>
                <w:color w:val="000000"/>
                <w:sz w:val="20"/>
                <w:szCs w:val="20"/>
                <w:vertAlign w:val="subscript"/>
                <w:lang w:eastAsia="pl-PL"/>
              </w:rPr>
              <w:t>ij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i/>
                <w:iCs/>
                <w:color w:val="000000"/>
                <w:sz w:val="20"/>
                <w:szCs w:val="20"/>
                <w:lang w:eastAsia="pl-PL"/>
              </w:rPr>
            </w:pPr>
            <w:r w:rsidRPr="00E52604">
              <w:rPr>
                <w:rFonts w:eastAsia="Times New Roman" w:cs="Times New Roman"/>
                <w:i/>
                <w:iCs/>
                <w:color w:val="000000"/>
                <w:sz w:val="20"/>
                <w:szCs w:val="20"/>
                <w:lang w:eastAsia="pl-PL"/>
              </w:rPr>
              <w:t>a</w:t>
            </w:r>
            <w:r w:rsidRPr="00E52604">
              <w:rPr>
                <w:rFonts w:eastAsia="Times New Roman" w:cs="Times New Roman"/>
                <w:i/>
                <w:iCs/>
                <w:color w:val="000000"/>
                <w:sz w:val="20"/>
                <w:szCs w:val="20"/>
                <w:vertAlign w:val="subscript"/>
                <w:lang w:eastAsia="pl-PL"/>
              </w:rPr>
              <w:t>10</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0,073**</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 </w:t>
            </w:r>
            <w:r w:rsidR="00DD55A0">
              <w:rPr>
                <w:rFonts w:eastAsia="Times New Roman" w:cs="Times New Roman"/>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hideMark/>
          </w:tcPr>
          <w:p w:rsidR="00E52604" w:rsidRPr="00E52604" w:rsidRDefault="00E52604" w:rsidP="00E52604">
            <w:pPr>
              <w:spacing w:line="240" w:lineRule="auto"/>
              <w:jc w:val="center"/>
              <w:rPr>
                <w:rFonts w:eastAsia="Times New Roman" w:cs="Times New Roman"/>
                <w:color w:val="000000"/>
                <w:sz w:val="20"/>
                <w:szCs w:val="20"/>
                <w:lang w:eastAsia="pl-PL"/>
              </w:rPr>
            </w:pPr>
            <w:r w:rsidRPr="00E52604">
              <w:rPr>
                <w:rFonts w:eastAsia="Times New Roman" w:cs="Times New Roman"/>
                <w:color w:val="000000"/>
                <w:sz w:val="20"/>
                <w:szCs w:val="20"/>
                <w:lang w:eastAsia="pl-PL"/>
              </w:rPr>
              <w:t>-0,069***</w:t>
            </w:r>
          </w:p>
        </w:tc>
      </w:tr>
    </w:tbl>
    <w:p w:rsidR="00F11E8F" w:rsidRDefault="00F11E8F" w:rsidP="00F11E8F">
      <w:pPr>
        <w:spacing w:line="240" w:lineRule="auto"/>
        <w:contextualSpacing/>
        <w:jc w:val="both"/>
        <w:rPr>
          <w:noProof/>
          <w:spacing w:val="-2"/>
          <w:sz w:val="20"/>
          <w:szCs w:val="20"/>
          <w:lang w:eastAsia="pl-PL"/>
        </w:rPr>
      </w:pPr>
      <w:r>
        <w:rPr>
          <w:noProof/>
          <w:spacing w:val="-2"/>
          <w:sz w:val="20"/>
          <w:szCs w:val="20"/>
          <w:lang w:eastAsia="pl-PL"/>
        </w:rPr>
        <w:t>Objaśnienie: * statystyczna istotność przy p&lt;0,1; ** statystyczna istotność przy p&lt;0,05; *** statystyczna istotność przy p&lt;0,01.</w:t>
      </w:r>
    </w:p>
    <w:p w:rsidR="00F11E8F" w:rsidRDefault="00F11E8F" w:rsidP="00F11E8F">
      <w:pPr>
        <w:spacing w:line="240" w:lineRule="auto"/>
        <w:contextualSpacing/>
        <w:jc w:val="both"/>
        <w:rPr>
          <w:noProof/>
          <w:spacing w:val="-2"/>
          <w:sz w:val="20"/>
          <w:szCs w:val="20"/>
          <w:lang w:eastAsia="pl-PL"/>
        </w:rPr>
      </w:pPr>
      <w:r w:rsidRPr="002061E4">
        <w:rPr>
          <w:noProof/>
          <w:spacing w:val="-2"/>
          <w:sz w:val="20"/>
          <w:szCs w:val="20"/>
          <w:lang w:eastAsia="pl-PL"/>
        </w:rPr>
        <w:t>Kolumna 1- wyroby surowcochłonne; kolumna 2 – wyroby pracochłonne, kolumna 3 – wyroby kapitałochłonne; kolumna 4 – wyroby intensywne technologicznie łatwe do imitacji; kolumna 5 – wyroby intensywne technologicznie trrudne do imitacji.</w:t>
      </w:r>
    </w:p>
    <w:p w:rsidR="00BA2413" w:rsidRPr="002061E4" w:rsidRDefault="00BA2413" w:rsidP="00F11E8F">
      <w:pPr>
        <w:spacing w:line="240" w:lineRule="auto"/>
        <w:contextualSpacing/>
        <w:jc w:val="both"/>
        <w:rPr>
          <w:noProof/>
          <w:spacing w:val="-2"/>
          <w:sz w:val="20"/>
          <w:szCs w:val="20"/>
          <w:lang w:eastAsia="pl-PL"/>
        </w:rPr>
      </w:pPr>
      <w:r>
        <w:rPr>
          <w:noProof/>
          <w:spacing w:val="-2"/>
          <w:sz w:val="20"/>
          <w:szCs w:val="20"/>
          <w:lang w:eastAsia="pl-PL"/>
        </w:rPr>
        <w:t>Czynniki nieistotne statystycznie usuwano z modelu.</w:t>
      </w:r>
    </w:p>
    <w:p w:rsidR="00F11E8F" w:rsidRPr="002061E4" w:rsidRDefault="00F11E8F" w:rsidP="00F11E8F">
      <w:pPr>
        <w:spacing w:line="240" w:lineRule="auto"/>
        <w:contextualSpacing/>
        <w:jc w:val="both"/>
        <w:rPr>
          <w:noProof/>
          <w:spacing w:val="-2"/>
          <w:sz w:val="20"/>
          <w:szCs w:val="20"/>
          <w:lang w:eastAsia="pl-PL"/>
        </w:rPr>
      </w:pPr>
      <w:r w:rsidRPr="002061E4">
        <w:rPr>
          <w:noProof/>
          <w:spacing w:val="-2"/>
          <w:sz w:val="20"/>
          <w:szCs w:val="20"/>
          <w:lang w:eastAsia="pl-PL"/>
        </w:rPr>
        <w:t>Źródło: Obliczen</w:t>
      </w:r>
      <w:r>
        <w:rPr>
          <w:noProof/>
          <w:spacing w:val="-2"/>
          <w:sz w:val="20"/>
          <w:szCs w:val="20"/>
          <w:lang w:eastAsia="pl-PL"/>
        </w:rPr>
        <w:t>ia własne na podstawie (UNCTAD) i (EUROSTAT).</w:t>
      </w:r>
    </w:p>
    <w:p w:rsidR="00E52604" w:rsidRDefault="00E52604" w:rsidP="0062737F">
      <w:pPr>
        <w:jc w:val="both"/>
        <w:rPr>
          <w:spacing w:val="2"/>
        </w:rPr>
      </w:pPr>
    </w:p>
    <w:p w:rsidR="00E52604" w:rsidRDefault="00967B5F" w:rsidP="0062737F">
      <w:pPr>
        <w:jc w:val="both"/>
        <w:rPr>
          <w:spacing w:val="2"/>
        </w:rPr>
      </w:pPr>
      <w:r>
        <w:rPr>
          <w:spacing w:val="2"/>
        </w:rPr>
        <w:lastRenderedPageBreak/>
        <w:t xml:space="preserve">Uzyskane opisanymi metodami wyniki estymacji </w:t>
      </w:r>
      <w:r w:rsidR="00910413">
        <w:rPr>
          <w:spacing w:val="2"/>
        </w:rPr>
        <w:t xml:space="preserve">dają </w:t>
      </w:r>
      <w:r w:rsidR="00EF1B74">
        <w:rPr>
          <w:spacing w:val="2"/>
        </w:rPr>
        <w:t xml:space="preserve">zasadniczo zgodne wyniki co do kierunku oddziaływania zmian PKB kraju eksportera i jego partnera </w:t>
      </w:r>
      <w:r>
        <w:rPr>
          <w:spacing w:val="2"/>
        </w:rPr>
        <w:t xml:space="preserve">na </w:t>
      </w:r>
      <w:r w:rsidR="00EF1B74">
        <w:rPr>
          <w:spacing w:val="2"/>
        </w:rPr>
        <w:t>wywóz</w:t>
      </w:r>
      <w:r>
        <w:rPr>
          <w:spacing w:val="2"/>
        </w:rPr>
        <w:t xml:space="preserve"> wyróżnionych skład</w:t>
      </w:r>
      <w:r w:rsidR="00EF1B74">
        <w:rPr>
          <w:spacing w:val="2"/>
        </w:rPr>
        <w:t xml:space="preserve">ników jego struktury towarowej. Potwierdzono dodatnią zależność pomiędzy wielkością gospodarek i wartością realizowanej między nimi wymiany handlowej. </w:t>
      </w:r>
      <w:r w:rsidR="00BC6EA1">
        <w:rPr>
          <w:spacing w:val="2"/>
        </w:rPr>
        <w:t xml:space="preserve">Stwierdzono przy tym, iż siła oddziaływania tych czynników nie jest taka sama w odniesieniu do towarów opartych na wykorzystaniu innych czynników wytwórczych. Szczególnie mocno na to zróżnicowanie wskazują wyniki estymacji modelu dynamicznego, </w:t>
      </w:r>
      <w:r w:rsidR="008D75D4">
        <w:rPr>
          <w:spacing w:val="2"/>
        </w:rPr>
        <w:t>z którego wynika,</w:t>
      </w:r>
      <w:r w:rsidR="00BC6EA1">
        <w:rPr>
          <w:spacing w:val="2"/>
        </w:rPr>
        <w:t xml:space="preserve"> że wraz ze wzrostem wielkości gospodarek uczestniczących w wymianie, w</w:t>
      </w:r>
      <w:r w:rsidR="008D75D4">
        <w:rPr>
          <w:spacing w:val="2"/>
        </w:rPr>
        <w:t>zrasta przede wszystkim eksport</w:t>
      </w:r>
      <w:r w:rsidR="00BC6EA1">
        <w:rPr>
          <w:spacing w:val="2"/>
        </w:rPr>
        <w:t xml:space="preserve"> dóbr pracochłonnych.</w:t>
      </w:r>
    </w:p>
    <w:p w:rsidR="00EF1B74" w:rsidRDefault="00EF1B74" w:rsidP="0062737F">
      <w:pPr>
        <w:jc w:val="both"/>
        <w:rPr>
          <w:spacing w:val="2"/>
        </w:rPr>
      </w:pPr>
      <w:r>
        <w:rPr>
          <w:spacing w:val="2"/>
        </w:rPr>
        <w:t xml:space="preserve">Oszacowanie parametrów określających kierunek i siłę oddziaływania zmian PKB per capita na wymianę handlową nie dało jednoznacznych odpowiedzi. Estymator efektów stałych FE wskazuje na </w:t>
      </w:r>
      <w:r w:rsidR="001B0CF1">
        <w:rPr>
          <w:spacing w:val="2"/>
        </w:rPr>
        <w:t xml:space="preserve">pozytywny wpływ na wartość obrotów wzrost PKB per capita kraju eksportera. Nie dotyczy to jednak wyrobów intensywnych technologicznie trudnych do imitacji, co tłumaczyć można tym, iż z jednak strony rosnąca produktywność tych wyrobów znajduje zbyt na rynkach </w:t>
      </w:r>
      <w:proofErr w:type="spellStart"/>
      <w:r w:rsidR="001B0CF1">
        <w:rPr>
          <w:spacing w:val="2"/>
        </w:rPr>
        <w:t>pozaunijnych</w:t>
      </w:r>
      <w:proofErr w:type="spellEnd"/>
      <w:r w:rsidR="001B0CF1">
        <w:rPr>
          <w:spacing w:val="2"/>
        </w:rPr>
        <w:t>, a z drugiej strony zmiany preferencji konsumpcyjnych na</w:t>
      </w:r>
      <w:r w:rsidR="004861B7">
        <w:rPr>
          <w:spacing w:val="2"/>
        </w:rPr>
        <w:t xml:space="preserve"> rynku kraju eksportera prowadzą</w:t>
      </w:r>
      <w:r w:rsidR="001B0CF1">
        <w:rPr>
          <w:spacing w:val="2"/>
        </w:rPr>
        <w:t xml:space="preserve"> do absorpcji tych produktów na rynku lokalnym. </w:t>
      </w:r>
      <w:r w:rsidR="004861B7">
        <w:rPr>
          <w:spacing w:val="2"/>
        </w:rPr>
        <w:t xml:space="preserve">Wysoki poziom rozwoju gospodarczego sprzyja również, zwłaszcza w warunkach wspólnego rynku, przemieszczaniu czynników produkcji, których migracja może stanowić alternatywę dla handlu. </w:t>
      </w:r>
      <w:r w:rsidR="001B0CF1">
        <w:rPr>
          <w:spacing w:val="2"/>
        </w:rPr>
        <w:t>Z kolei rosnące PKB per capita kraju partnera przekłada się na wzrost dostaw na jego rynek wszystkich kategorii dóbr za wyjątkiem produktów surowcochłonnych, co również tłumaczyć można zmianą preferencji konsumpcyjnych, które wraz z postępującym rozwojem gospodarczym</w:t>
      </w:r>
      <w:r w:rsidR="00C850F8">
        <w:rPr>
          <w:spacing w:val="2"/>
        </w:rPr>
        <w:t xml:space="preserve"> zwracają się w kierunku dóbr zaawansowanych technologicznie. Znajduje to potwierdzenie w najwyższej wartości parametru określającego oddziaływanie tej właśnie zmiennej. Parametry oszacowane w modelach </w:t>
      </w:r>
      <w:proofErr w:type="spellStart"/>
      <w:r w:rsidR="00C850F8" w:rsidRPr="00C850F8">
        <w:rPr>
          <w:i/>
          <w:spacing w:val="2"/>
        </w:rPr>
        <w:t>pooled</w:t>
      </w:r>
      <w:proofErr w:type="spellEnd"/>
      <w:r w:rsidR="00C850F8">
        <w:rPr>
          <w:spacing w:val="2"/>
        </w:rPr>
        <w:t xml:space="preserve"> i dynamicznym przyjmują niższe wartości i potwierdzają kierunek oddziaływania zmian PKB per capita na eksport tylko w tych przypadkach, gdzie wskazano wcześniej zależność ujemną.</w:t>
      </w:r>
    </w:p>
    <w:p w:rsidR="00B511F1" w:rsidRDefault="00B511F1" w:rsidP="0062737F">
      <w:pPr>
        <w:jc w:val="both"/>
        <w:rPr>
          <w:spacing w:val="2"/>
        </w:rPr>
      </w:pPr>
      <w:r>
        <w:rPr>
          <w:spacing w:val="2"/>
        </w:rPr>
        <w:t>Dzieląca partnerów handlowych odległość mierzona dystansem PKB i PKB per capita, w tych przypadkach, gdzie okazała się statystycznie istotna, zgodnie z oczekiwaniami była ujemnie skorelowana z wartością eksportu. Potwierdza to założenia teorii podobieństwa preferencji o wzroście wartości obrotów pomiędzy gospodarkami znajdującymi się w podobnym stadium rozwoju.</w:t>
      </w:r>
    </w:p>
    <w:p w:rsidR="00185FFB" w:rsidRDefault="00185FFB" w:rsidP="0062737F">
      <w:pPr>
        <w:jc w:val="both"/>
        <w:rPr>
          <w:spacing w:val="2"/>
        </w:rPr>
      </w:pPr>
      <w:r>
        <w:rPr>
          <w:spacing w:val="2"/>
        </w:rPr>
        <w:t xml:space="preserve">Istotną determinantą obrotów handlowych okazał się czynnik geograficzny. Z różną wprawdzie intensywnością, ale dla wszystkich kategorii produktów, odległość pomiędzy </w:t>
      </w:r>
      <w:r>
        <w:rPr>
          <w:spacing w:val="2"/>
        </w:rPr>
        <w:lastRenderedPageBreak/>
        <w:t xml:space="preserve">partnerami stanowiła barierę dla wzrostu obrotów (zwłaszcza w odniesieniu do wyrobów kapitałochłonnych), natomiast posiadanie wspólnej granicy sprzyjało intensyfikacji wymiany (głównie produktami </w:t>
      </w:r>
      <w:proofErr w:type="spellStart"/>
      <w:r>
        <w:rPr>
          <w:spacing w:val="2"/>
        </w:rPr>
        <w:t>surowco</w:t>
      </w:r>
      <w:proofErr w:type="spellEnd"/>
      <w:r>
        <w:rPr>
          <w:spacing w:val="2"/>
        </w:rPr>
        <w:t>- i pracochłonnymi).</w:t>
      </w:r>
    </w:p>
    <w:p w:rsidR="001F5042" w:rsidRDefault="001F5042" w:rsidP="0062737F">
      <w:pPr>
        <w:jc w:val="both"/>
        <w:rPr>
          <w:spacing w:val="2"/>
        </w:rPr>
      </w:pPr>
      <w:r>
        <w:rPr>
          <w:spacing w:val="2"/>
        </w:rPr>
        <w:t>Istotne statystycznie i sprzyjające wzrostowi wymiany handlowej okazało się również członkostwo obu partnerów w UE. Mniejsze znaczenie miała natomiast w tym zakresie przynależność do strefy euro, która często okazywała się nieistotna statystycznie, a w przypadku wyrobów intensywnych technologicznie trudnych do imitacji była skorelowa</w:t>
      </w:r>
      <w:r w:rsidR="00E05924">
        <w:rPr>
          <w:spacing w:val="2"/>
        </w:rPr>
        <w:t>na ujemnie z</w:t>
      </w:r>
      <w:r w:rsidR="008F021D">
        <w:rPr>
          <w:spacing w:val="2"/>
        </w:rPr>
        <w:t xml:space="preserve"> wartością eksportu, czego źródeł poszukiwać można w atrakcyjności alternatywnego dla handlu przemieszczaniu czynników wytwórczych w strefie euro.</w:t>
      </w:r>
    </w:p>
    <w:p w:rsidR="00B511F1" w:rsidRDefault="00B511F1" w:rsidP="0062737F">
      <w:pPr>
        <w:jc w:val="both"/>
        <w:rPr>
          <w:spacing w:val="2"/>
        </w:rPr>
      </w:pPr>
    </w:p>
    <w:p w:rsidR="00943604" w:rsidRDefault="00943604" w:rsidP="00943604">
      <w:pPr>
        <w:tabs>
          <w:tab w:val="left" w:leader="dot" w:pos="10773"/>
        </w:tabs>
        <w:rPr>
          <w:rFonts w:cs="Times New Roman"/>
          <w:b/>
          <w:szCs w:val="24"/>
        </w:rPr>
      </w:pPr>
      <w:r>
        <w:rPr>
          <w:rFonts w:cs="Times New Roman"/>
          <w:b/>
          <w:szCs w:val="24"/>
        </w:rPr>
        <w:t xml:space="preserve">Podsumowanie </w:t>
      </w:r>
    </w:p>
    <w:p w:rsidR="00943604" w:rsidRPr="000474E4" w:rsidRDefault="00BA2413" w:rsidP="00D522E4">
      <w:pPr>
        <w:tabs>
          <w:tab w:val="left" w:leader="dot" w:pos="10773"/>
        </w:tabs>
        <w:jc w:val="both"/>
        <w:rPr>
          <w:rFonts w:cs="Times New Roman"/>
          <w:szCs w:val="24"/>
        </w:rPr>
      </w:pPr>
      <w:r>
        <w:rPr>
          <w:rFonts w:cs="Times New Roman"/>
          <w:szCs w:val="24"/>
        </w:rPr>
        <w:t>Przeprowadzona w artykule analiza wykazała, że struktura eksportu państw UE uwzględniająca wyodrębnienie grup produktów z uwagi na intensywność wykorzystania czynników produkcji, jest wysoce zróżnicowana.</w:t>
      </w:r>
      <w:r w:rsidR="008355A0">
        <w:rPr>
          <w:rFonts w:cs="Times New Roman"/>
          <w:szCs w:val="24"/>
        </w:rPr>
        <w:t xml:space="preserve"> Dotyczy to nie tylko krajów znajdujących się na różnym poziomie rozwoju gospodarczego, ale również tych, które tym poziomem są zbliżone i dysponują podobnymi zasobami czynników wytwórczych.</w:t>
      </w:r>
      <w:r w:rsidR="00D522E4">
        <w:rPr>
          <w:rFonts w:cs="Times New Roman"/>
          <w:szCs w:val="24"/>
        </w:rPr>
        <w:t xml:space="preserve"> Mimo funkcjonowania wspólnego rynku UE, swobody przepływu towarów, usług, kapitału i pracy wciąż istotne znaczenie dla atrakcyjności podejmowania współpracy handlowej mają kluczowe w konstruowaniu grawitacyjnych modeli handlu zagranicznego</w:t>
      </w:r>
      <w:r w:rsidR="003F4EC4">
        <w:rPr>
          <w:rFonts w:cs="Times New Roman"/>
          <w:szCs w:val="24"/>
        </w:rPr>
        <w:t xml:space="preserve"> czynniki, jak wiel</w:t>
      </w:r>
      <w:r w:rsidR="00176F47">
        <w:rPr>
          <w:rFonts w:cs="Times New Roman"/>
          <w:szCs w:val="24"/>
        </w:rPr>
        <w:t>kość i poziom rozwoju</w:t>
      </w:r>
      <w:r w:rsidR="003F4EC4">
        <w:rPr>
          <w:rFonts w:cs="Times New Roman"/>
          <w:szCs w:val="24"/>
        </w:rPr>
        <w:t xml:space="preserve"> partnerów gospodarczych, odległość geograficzna, czy wspólna granica. </w:t>
      </w:r>
      <w:r w:rsidR="00176F47">
        <w:rPr>
          <w:rFonts w:cs="Times New Roman"/>
          <w:szCs w:val="24"/>
        </w:rPr>
        <w:t xml:space="preserve">Ich znaczenie w nierównym stopniu rozkłada się na handel produktami różniącymi się intensywnością wykorzystania odmiennych czynników wytwórczych. </w:t>
      </w:r>
      <w:r w:rsidR="003F4EC4">
        <w:rPr>
          <w:rFonts w:cs="Times New Roman"/>
          <w:szCs w:val="24"/>
        </w:rPr>
        <w:t>Warto zwrócić też uwagę na szereg odbiegających od teorii rezultatów uzyskanych w modelu grawitacyjnym, których wyjaśnienie leżeć może w integracji rynków europejskich. Tworzenie warunków dla przepływu czynników wytwórczych kreować może alternatywne dla handlu</w:t>
      </w:r>
      <w:r w:rsidR="000A6D3C">
        <w:rPr>
          <w:rFonts w:cs="Times New Roman"/>
          <w:szCs w:val="24"/>
        </w:rPr>
        <w:t xml:space="preserve"> przepływy, zwłaszcza tych czynników, które cechuje wysoki poziom mobilności, jak kapitał czy technologia. Przyjęta w pracy metoda badawcza posiada szereg ograniczeń, których świadomość nie pozwala bezkrytycznie przyjąć uzyskanych rezultatów. Wnioskowanie oparte jest przede wszystkim o analizę porównawczą struktur towarowych eksportu, pomija natomiast inne aspekty wewnętrznych uwarunkowań funkcjonowania gospodarek czy funkcjonujących w ich obrębie przedsiębiorstw. </w:t>
      </w:r>
      <w:r w:rsidR="004C165E">
        <w:rPr>
          <w:rFonts w:cs="Times New Roman"/>
          <w:szCs w:val="24"/>
        </w:rPr>
        <w:t>Jest to kierunek dla dalszych badań, których uwaga koncentrować powinna się na wybranych czynnikach produkcji.</w:t>
      </w:r>
    </w:p>
    <w:p w:rsidR="00AD0C35" w:rsidRDefault="00AD0C35" w:rsidP="0062737F">
      <w:pPr>
        <w:jc w:val="both"/>
        <w:rPr>
          <w:spacing w:val="2"/>
        </w:rPr>
      </w:pPr>
    </w:p>
    <w:p w:rsidR="00DD55A0" w:rsidRDefault="00DD55A0" w:rsidP="0062737F">
      <w:pPr>
        <w:jc w:val="both"/>
        <w:rPr>
          <w:spacing w:val="2"/>
        </w:rPr>
      </w:pPr>
    </w:p>
    <w:p w:rsidR="00A8488C" w:rsidRPr="0062737F" w:rsidRDefault="004C165E" w:rsidP="0062737F">
      <w:pPr>
        <w:jc w:val="both"/>
        <w:rPr>
          <w:spacing w:val="2"/>
        </w:rPr>
      </w:pPr>
      <w:r w:rsidRPr="00060DDF">
        <w:rPr>
          <w:rFonts w:cs="Times New Roman"/>
          <w:b/>
          <w:szCs w:val="24"/>
        </w:rPr>
        <w:lastRenderedPageBreak/>
        <w:t>Literatura</w:t>
      </w:r>
    </w:p>
    <w:p w:rsidR="00714F0E" w:rsidRDefault="00714F0E" w:rsidP="00B2313E">
      <w:pPr>
        <w:pStyle w:val="Nagwek2"/>
        <w:shd w:val="clear" w:color="auto" w:fill="FFFFFF"/>
        <w:spacing w:before="0" w:beforeAutospacing="0" w:after="120" w:afterAutospacing="0"/>
        <w:ind w:left="567" w:hanging="567"/>
        <w:jc w:val="both"/>
        <w:textAlignment w:val="baseline"/>
        <w:rPr>
          <w:b w:val="0"/>
          <w:sz w:val="24"/>
          <w:szCs w:val="24"/>
          <w:lang w:val="en-US"/>
        </w:rPr>
      </w:pPr>
      <w:r w:rsidRPr="00840715">
        <w:rPr>
          <w:b w:val="0"/>
          <w:sz w:val="24"/>
          <w:szCs w:val="24"/>
        </w:rPr>
        <w:t xml:space="preserve">Białowąs, T. (2015). </w:t>
      </w:r>
      <w:r w:rsidR="005A0451" w:rsidRPr="00840715">
        <w:rPr>
          <w:rFonts w:eastAsia="TimesNewRomanPS-ItalicMT"/>
          <w:b w:val="0"/>
          <w:iCs/>
          <w:sz w:val="24"/>
          <w:szCs w:val="24"/>
        </w:rPr>
        <w:t>Perspektywy wzrostu handlu międzynarodowego</w:t>
      </w:r>
      <w:r w:rsidR="00C81C11">
        <w:rPr>
          <w:rFonts w:eastAsia="TimesNewRomanPS-ItalicMT"/>
          <w:b w:val="0"/>
          <w:iCs/>
          <w:sz w:val="24"/>
          <w:szCs w:val="24"/>
        </w:rPr>
        <w:t>.</w:t>
      </w:r>
      <w:r w:rsidR="00840715" w:rsidRPr="00840715">
        <w:rPr>
          <w:rFonts w:eastAsia="TimesNewRomanPS-ItalicMT"/>
          <w:iCs/>
          <w:sz w:val="24"/>
          <w:szCs w:val="24"/>
        </w:rPr>
        <w:t xml:space="preserve"> </w:t>
      </w:r>
      <w:hyperlink r:id="rId9" w:history="1">
        <w:proofErr w:type="spellStart"/>
        <w:r w:rsidR="00840715" w:rsidRPr="009F45C4">
          <w:rPr>
            <w:rStyle w:val="Hipercze"/>
            <w:rFonts w:eastAsia="Calibri"/>
            <w:b w:val="0"/>
            <w:bCs w:val="0"/>
            <w:i/>
            <w:iCs/>
            <w:color w:val="auto"/>
            <w:sz w:val="24"/>
            <w:szCs w:val="24"/>
            <w:u w:val="none"/>
            <w:bdr w:val="none" w:sz="0" w:space="0" w:color="auto" w:frame="1"/>
            <w:lang w:val="en-US"/>
          </w:rPr>
          <w:t>Annales</w:t>
        </w:r>
        <w:proofErr w:type="spellEnd"/>
        <w:r w:rsidR="00840715" w:rsidRPr="009F45C4">
          <w:rPr>
            <w:rStyle w:val="Hipercze"/>
            <w:rFonts w:eastAsia="Calibri"/>
            <w:b w:val="0"/>
            <w:bCs w:val="0"/>
            <w:i/>
            <w:iCs/>
            <w:color w:val="auto"/>
            <w:sz w:val="24"/>
            <w:szCs w:val="24"/>
            <w:u w:val="none"/>
            <w:bdr w:val="none" w:sz="0" w:space="0" w:color="auto" w:frame="1"/>
            <w:lang w:val="en-US"/>
          </w:rPr>
          <w:t xml:space="preserve"> </w:t>
        </w:r>
        <w:proofErr w:type="spellStart"/>
        <w:r w:rsidR="00840715" w:rsidRPr="009F45C4">
          <w:rPr>
            <w:rStyle w:val="Hipercze"/>
            <w:rFonts w:eastAsia="Calibri"/>
            <w:b w:val="0"/>
            <w:bCs w:val="0"/>
            <w:i/>
            <w:iCs/>
            <w:color w:val="auto"/>
            <w:sz w:val="24"/>
            <w:szCs w:val="24"/>
            <w:u w:val="none"/>
            <w:bdr w:val="none" w:sz="0" w:space="0" w:color="auto" w:frame="1"/>
            <w:lang w:val="en-US"/>
          </w:rPr>
          <w:t>Universitatis</w:t>
        </w:r>
        <w:proofErr w:type="spellEnd"/>
        <w:r w:rsidR="00840715" w:rsidRPr="009F45C4">
          <w:rPr>
            <w:rStyle w:val="Hipercze"/>
            <w:rFonts w:eastAsia="Calibri"/>
            <w:b w:val="0"/>
            <w:bCs w:val="0"/>
            <w:i/>
            <w:iCs/>
            <w:color w:val="auto"/>
            <w:sz w:val="24"/>
            <w:szCs w:val="24"/>
            <w:u w:val="none"/>
            <w:bdr w:val="none" w:sz="0" w:space="0" w:color="auto" w:frame="1"/>
            <w:lang w:val="en-US"/>
          </w:rPr>
          <w:t xml:space="preserve"> </w:t>
        </w:r>
        <w:proofErr w:type="spellStart"/>
        <w:r w:rsidR="00840715" w:rsidRPr="009F45C4">
          <w:rPr>
            <w:rStyle w:val="Hipercze"/>
            <w:rFonts w:eastAsia="Calibri"/>
            <w:b w:val="0"/>
            <w:bCs w:val="0"/>
            <w:i/>
            <w:iCs/>
            <w:color w:val="auto"/>
            <w:sz w:val="24"/>
            <w:szCs w:val="24"/>
            <w:u w:val="none"/>
            <w:bdr w:val="none" w:sz="0" w:space="0" w:color="auto" w:frame="1"/>
            <w:lang w:val="en-US"/>
          </w:rPr>
          <w:t>Mariae</w:t>
        </w:r>
        <w:proofErr w:type="spellEnd"/>
        <w:r w:rsidR="00840715" w:rsidRPr="009F45C4">
          <w:rPr>
            <w:rStyle w:val="Hipercze"/>
            <w:rFonts w:eastAsia="Calibri"/>
            <w:b w:val="0"/>
            <w:bCs w:val="0"/>
            <w:i/>
            <w:iCs/>
            <w:color w:val="auto"/>
            <w:sz w:val="24"/>
            <w:szCs w:val="24"/>
            <w:u w:val="none"/>
            <w:bdr w:val="none" w:sz="0" w:space="0" w:color="auto" w:frame="1"/>
            <w:lang w:val="en-US"/>
          </w:rPr>
          <w:t xml:space="preserve"> Curie-</w:t>
        </w:r>
        <w:proofErr w:type="spellStart"/>
        <w:r w:rsidR="00840715" w:rsidRPr="009F45C4">
          <w:rPr>
            <w:rStyle w:val="Hipercze"/>
            <w:rFonts w:eastAsia="Calibri"/>
            <w:b w:val="0"/>
            <w:bCs w:val="0"/>
            <w:i/>
            <w:iCs/>
            <w:color w:val="auto"/>
            <w:sz w:val="24"/>
            <w:szCs w:val="24"/>
            <w:u w:val="none"/>
            <w:bdr w:val="none" w:sz="0" w:space="0" w:color="auto" w:frame="1"/>
            <w:lang w:val="en-US"/>
          </w:rPr>
          <w:t>Skłodowska</w:t>
        </w:r>
        <w:proofErr w:type="spellEnd"/>
        <w:r w:rsidR="00840715" w:rsidRPr="009F45C4">
          <w:rPr>
            <w:rStyle w:val="Hipercze"/>
            <w:rFonts w:eastAsia="Calibri"/>
            <w:b w:val="0"/>
            <w:bCs w:val="0"/>
            <w:i/>
            <w:iCs/>
            <w:color w:val="auto"/>
            <w:sz w:val="24"/>
            <w:szCs w:val="24"/>
            <w:u w:val="none"/>
            <w:bdr w:val="none" w:sz="0" w:space="0" w:color="auto" w:frame="1"/>
            <w:lang w:val="en-US"/>
          </w:rPr>
          <w:t xml:space="preserve">. </w:t>
        </w:r>
        <w:proofErr w:type="spellStart"/>
        <w:r w:rsidR="00840715" w:rsidRPr="009F45C4">
          <w:rPr>
            <w:rStyle w:val="Hipercze"/>
            <w:rFonts w:eastAsia="Calibri"/>
            <w:b w:val="0"/>
            <w:bCs w:val="0"/>
            <w:i/>
            <w:iCs/>
            <w:color w:val="auto"/>
            <w:sz w:val="24"/>
            <w:szCs w:val="24"/>
            <w:u w:val="none"/>
            <w:bdr w:val="none" w:sz="0" w:space="0" w:color="auto" w:frame="1"/>
            <w:lang w:val="en-US"/>
          </w:rPr>
          <w:t>Sectio</w:t>
        </w:r>
        <w:proofErr w:type="spellEnd"/>
        <w:r w:rsidR="00840715" w:rsidRPr="009F45C4">
          <w:rPr>
            <w:rStyle w:val="Hipercze"/>
            <w:rFonts w:eastAsia="Calibri"/>
            <w:b w:val="0"/>
            <w:bCs w:val="0"/>
            <w:i/>
            <w:iCs/>
            <w:color w:val="auto"/>
            <w:sz w:val="24"/>
            <w:szCs w:val="24"/>
            <w:u w:val="none"/>
            <w:bdr w:val="none" w:sz="0" w:space="0" w:color="auto" w:frame="1"/>
            <w:lang w:val="en-US"/>
          </w:rPr>
          <w:t xml:space="preserve"> H. </w:t>
        </w:r>
        <w:proofErr w:type="spellStart"/>
        <w:r w:rsidR="00840715" w:rsidRPr="009F45C4">
          <w:rPr>
            <w:rStyle w:val="Hipercze"/>
            <w:rFonts w:eastAsia="Calibri"/>
            <w:b w:val="0"/>
            <w:bCs w:val="0"/>
            <w:i/>
            <w:iCs/>
            <w:color w:val="auto"/>
            <w:sz w:val="24"/>
            <w:szCs w:val="24"/>
            <w:u w:val="none"/>
            <w:bdr w:val="none" w:sz="0" w:space="0" w:color="auto" w:frame="1"/>
            <w:lang w:val="en-US"/>
          </w:rPr>
          <w:t>Oeconomia</w:t>
        </w:r>
        <w:proofErr w:type="spellEnd"/>
      </w:hyperlink>
      <w:r w:rsidR="00840715" w:rsidRPr="009F45C4">
        <w:rPr>
          <w:b w:val="0"/>
          <w:sz w:val="24"/>
          <w:szCs w:val="24"/>
          <w:lang w:val="en-US"/>
        </w:rPr>
        <w:t>, 2, 51-60</w:t>
      </w:r>
      <w:r w:rsidR="000F1001" w:rsidRPr="009F45C4">
        <w:rPr>
          <w:b w:val="0"/>
          <w:sz w:val="24"/>
          <w:szCs w:val="24"/>
          <w:lang w:val="en-US"/>
        </w:rPr>
        <w:t>.</w:t>
      </w:r>
    </w:p>
    <w:p w:rsidR="0038148D" w:rsidRPr="0038148D" w:rsidRDefault="0038148D" w:rsidP="00B2313E">
      <w:pPr>
        <w:pStyle w:val="Nagwek2"/>
        <w:shd w:val="clear" w:color="auto" w:fill="FFFFFF"/>
        <w:spacing w:before="0" w:beforeAutospacing="0" w:after="120" w:afterAutospacing="0"/>
        <w:ind w:left="567" w:hanging="567"/>
        <w:jc w:val="both"/>
        <w:textAlignment w:val="baseline"/>
        <w:rPr>
          <w:b w:val="0"/>
          <w:sz w:val="24"/>
          <w:szCs w:val="24"/>
        </w:rPr>
      </w:pPr>
      <w:proofErr w:type="spellStart"/>
      <w:r w:rsidRPr="00093FEE">
        <w:rPr>
          <w:b w:val="0"/>
          <w:sz w:val="24"/>
          <w:szCs w:val="24"/>
          <w:lang w:val="en-US"/>
        </w:rPr>
        <w:t>Cieślik</w:t>
      </w:r>
      <w:proofErr w:type="spellEnd"/>
      <w:r w:rsidRPr="00093FEE">
        <w:rPr>
          <w:b w:val="0"/>
          <w:sz w:val="24"/>
          <w:szCs w:val="24"/>
          <w:lang w:val="en-US"/>
        </w:rPr>
        <w:t xml:space="preserve">, A. (2000). </w:t>
      </w:r>
      <w:r w:rsidRPr="0038148D">
        <w:rPr>
          <w:b w:val="0"/>
          <w:i/>
          <w:sz w:val="24"/>
          <w:szCs w:val="24"/>
        </w:rPr>
        <w:t>Nowa teoria handlu zagranicznego w świetle badań empirycznych</w:t>
      </w:r>
      <w:r>
        <w:rPr>
          <w:b w:val="0"/>
          <w:sz w:val="24"/>
          <w:szCs w:val="24"/>
        </w:rPr>
        <w:t>. Warszawa: Wydawnictwo Naukowe PWN.</w:t>
      </w:r>
    </w:p>
    <w:p w:rsidR="008C2337" w:rsidRDefault="008C2337" w:rsidP="00B530C0">
      <w:pPr>
        <w:pStyle w:val="Nagwek2"/>
        <w:shd w:val="clear" w:color="auto" w:fill="FFFFFF"/>
        <w:spacing w:before="0" w:beforeAutospacing="0" w:after="120" w:afterAutospacing="0"/>
        <w:ind w:left="567" w:hanging="567"/>
        <w:jc w:val="both"/>
        <w:textAlignment w:val="baseline"/>
        <w:rPr>
          <w:b w:val="0"/>
          <w:sz w:val="24"/>
          <w:szCs w:val="24"/>
        </w:rPr>
      </w:pPr>
      <w:proofErr w:type="spellStart"/>
      <w:r w:rsidRPr="0038148D">
        <w:rPr>
          <w:b w:val="0"/>
          <w:sz w:val="24"/>
          <w:szCs w:val="24"/>
        </w:rPr>
        <w:t>Dańska-Borsiak</w:t>
      </w:r>
      <w:proofErr w:type="spellEnd"/>
      <w:r w:rsidRPr="0038148D">
        <w:rPr>
          <w:b w:val="0"/>
          <w:sz w:val="24"/>
          <w:szCs w:val="24"/>
        </w:rPr>
        <w:t xml:space="preserve">, B. (2009). </w:t>
      </w:r>
      <w:r>
        <w:rPr>
          <w:b w:val="0"/>
          <w:sz w:val="24"/>
          <w:szCs w:val="24"/>
        </w:rPr>
        <w:t xml:space="preserve">Zastosowania panelowych modeli dynamicznych </w:t>
      </w:r>
      <w:r w:rsidR="00B530C0">
        <w:rPr>
          <w:b w:val="0"/>
          <w:sz w:val="24"/>
          <w:szCs w:val="24"/>
        </w:rPr>
        <w:t xml:space="preserve">w badaniach mikroekonomicznych i makroekonomicznych. </w:t>
      </w:r>
      <w:r w:rsidR="00B530C0" w:rsidRPr="00906888">
        <w:rPr>
          <w:b w:val="0"/>
          <w:i/>
          <w:sz w:val="24"/>
          <w:szCs w:val="24"/>
        </w:rPr>
        <w:t>Przegląd Statystyczny</w:t>
      </w:r>
      <w:r w:rsidR="00B530C0">
        <w:rPr>
          <w:b w:val="0"/>
          <w:sz w:val="24"/>
          <w:szCs w:val="24"/>
        </w:rPr>
        <w:t>, 2, 25-41.</w:t>
      </w:r>
    </w:p>
    <w:p w:rsidR="008D6BF0" w:rsidRDefault="008D6BF0" w:rsidP="00B2313E">
      <w:pPr>
        <w:pStyle w:val="Nagwek2"/>
        <w:shd w:val="clear" w:color="auto" w:fill="FFFFFF"/>
        <w:spacing w:before="0" w:beforeAutospacing="0" w:after="120" w:afterAutospacing="0"/>
        <w:ind w:left="567" w:hanging="567"/>
        <w:jc w:val="both"/>
        <w:textAlignment w:val="baseline"/>
        <w:rPr>
          <w:b w:val="0"/>
          <w:sz w:val="24"/>
          <w:szCs w:val="24"/>
        </w:rPr>
      </w:pPr>
      <w:r>
        <w:rPr>
          <w:b w:val="0"/>
          <w:sz w:val="24"/>
          <w:szCs w:val="24"/>
        </w:rPr>
        <w:t>EUROSTAT</w:t>
      </w:r>
      <w:r w:rsidR="00FA15FD">
        <w:rPr>
          <w:b w:val="0"/>
          <w:sz w:val="24"/>
          <w:szCs w:val="24"/>
        </w:rPr>
        <w:t>.</w:t>
      </w:r>
      <w:r>
        <w:rPr>
          <w:b w:val="0"/>
          <w:sz w:val="24"/>
          <w:szCs w:val="24"/>
        </w:rPr>
        <w:t xml:space="preserve"> (2016). </w:t>
      </w:r>
      <w:r w:rsidR="00047D45">
        <w:rPr>
          <w:b w:val="0"/>
          <w:sz w:val="24"/>
          <w:szCs w:val="24"/>
        </w:rPr>
        <w:t xml:space="preserve">Pozyskano ze strony </w:t>
      </w:r>
      <w:r w:rsidRPr="008D6BF0">
        <w:rPr>
          <w:b w:val="0"/>
          <w:sz w:val="24"/>
          <w:szCs w:val="24"/>
        </w:rPr>
        <w:t>http://ec.europa.eu/programmes/erasmus-plus/resources/distance-calculator_pl</w:t>
      </w:r>
      <w:r>
        <w:rPr>
          <w:b w:val="0"/>
          <w:sz w:val="24"/>
          <w:szCs w:val="24"/>
        </w:rPr>
        <w:t xml:space="preserve"> (dostęp: listopad 2016).</w:t>
      </w:r>
    </w:p>
    <w:p w:rsidR="00D77B50" w:rsidRPr="00D77B50" w:rsidRDefault="00D77B50" w:rsidP="00D77B50">
      <w:pPr>
        <w:pStyle w:val="Nagwek3"/>
        <w:shd w:val="clear" w:color="auto" w:fill="FFFFFF"/>
        <w:spacing w:before="0" w:after="120" w:line="240" w:lineRule="auto"/>
        <w:ind w:left="567" w:hanging="567"/>
        <w:jc w:val="both"/>
        <w:textAlignment w:val="baseline"/>
        <w:rPr>
          <w:rFonts w:ascii="Times New Roman" w:hAnsi="Times New Roman" w:cs="Times New Roman"/>
          <w:b w:val="0"/>
          <w:color w:val="auto"/>
          <w:sz w:val="25"/>
          <w:szCs w:val="25"/>
        </w:rPr>
      </w:pPr>
      <w:proofErr w:type="spellStart"/>
      <w:r w:rsidRPr="00D77B50">
        <w:rPr>
          <w:rFonts w:ascii="Times New Roman" w:hAnsi="Times New Roman" w:cs="Times New Roman"/>
          <w:b w:val="0"/>
          <w:color w:val="auto"/>
          <w:szCs w:val="24"/>
        </w:rPr>
        <w:t>Folfas</w:t>
      </w:r>
      <w:proofErr w:type="spellEnd"/>
      <w:r w:rsidRPr="00D77B50">
        <w:rPr>
          <w:rFonts w:ascii="Times New Roman" w:hAnsi="Times New Roman" w:cs="Times New Roman"/>
          <w:b w:val="0"/>
          <w:color w:val="auto"/>
          <w:szCs w:val="24"/>
        </w:rPr>
        <w:t xml:space="preserve">, P. (2012). </w:t>
      </w:r>
      <w:r w:rsidRPr="00D77B50">
        <w:rPr>
          <w:rFonts w:ascii="Times New Roman" w:hAnsi="Times New Roman" w:cs="Times New Roman"/>
          <w:b w:val="0"/>
          <w:color w:val="auto"/>
          <w:sz w:val="25"/>
          <w:szCs w:val="25"/>
        </w:rPr>
        <w:t>Analiza przepływów kapitału bezpośredniego między państwami członkowskimi UE za pomocą modelu grawitacji</w:t>
      </w:r>
      <w:r>
        <w:rPr>
          <w:rFonts w:ascii="Times New Roman" w:hAnsi="Times New Roman" w:cs="Times New Roman"/>
          <w:b w:val="0"/>
          <w:color w:val="auto"/>
          <w:sz w:val="25"/>
          <w:szCs w:val="25"/>
        </w:rPr>
        <w:t xml:space="preserve">. </w:t>
      </w:r>
      <w:r w:rsidRPr="00D77B50">
        <w:rPr>
          <w:rFonts w:ascii="Times New Roman" w:hAnsi="Times New Roman" w:cs="Times New Roman"/>
          <w:b w:val="0"/>
          <w:i/>
          <w:color w:val="auto"/>
          <w:sz w:val="25"/>
          <w:szCs w:val="25"/>
        </w:rPr>
        <w:t>Studia Ekonomiczne. Uniwersytet Ekonomiczny w Katowicach</w:t>
      </w:r>
      <w:r>
        <w:rPr>
          <w:rFonts w:ascii="Times New Roman" w:hAnsi="Times New Roman" w:cs="Times New Roman"/>
          <w:b w:val="0"/>
          <w:color w:val="auto"/>
          <w:sz w:val="25"/>
          <w:szCs w:val="25"/>
        </w:rPr>
        <w:t>, 123, 263-274</w:t>
      </w:r>
      <w:r w:rsidR="00CC142E">
        <w:rPr>
          <w:rFonts w:ascii="Times New Roman" w:hAnsi="Times New Roman" w:cs="Times New Roman"/>
          <w:b w:val="0"/>
          <w:color w:val="auto"/>
          <w:sz w:val="25"/>
          <w:szCs w:val="25"/>
        </w:rPr>
        <w:t>.</w:t>
      </w:r>
    </w:p>
    <w:p w:rsidR="00C54930" w:rsidRDefault="00C54930" w:rsidP="00C81C11">
      <w:pPr>
        <w:pStyle w:val="Nagwek2"/>
        <w:shd w:val="clear" w:color="auto" w:fill="FFFFFF"/>
        <w:spacing w:before="0" w:beforeAutospacing="0" w:after="120" w:afterAutospacing="0"/>
        <w:ind w:left="567" w:hanging="567"/>
        <w:jc w:val="both"/>
        <w:textAlignment w:val="baseline"/>
        <w:rPr>
          <w:b w:val="0"/>
          <w:sz w:val="24"/>
          <w:szCs w:val="24"/>
        </w:rPr>
      </w:pPr>
      <w:proofErr w:type="spellStart"/>
      <w:r>
        <w:rPr>
          <w:b w:val="0"/>
          <w:sz w:val="24"/>
          <w:szCs w:val="24"/>
        </w:rPr>
        <w:t>Geise</w:t>
      </w:r>
      <w:proofErr w:type="spellEnd"/>
      <w:r>
        <w:rPr>
          <w:b w:val="0"/>
          <w:sz w:val="24"/>
          <w:szCs w:val="24"/>
        </w:rPr>
        <w:t>, A. (2013). Przestrzenno-czasowe modelowanie zmienności produkcji w sektorach mikro-, małych, średnich i dużych przedsiębiorstwach w Polsce</w:t>
      </w:r>
      <w:r w:rsidR="00C81C11">
        <w:rPr>
          <w:b w:val="0"/>
          <w:sz w:val="24"/>
          <w:szCs w:val="24"/>
        </w:rPr>
        <w:t xml:space="preserve">. </w:t>
      </w:r>
      <w:r w:rsidR="00C81C11" w:rsidRPr="00906888">
        <w:rPr>
          <w:b w:val="0"/>
          <w:i/>
          <w:sz w:val="24"/>
          <w:szCs w:val="24"/>
        </w:rPr>
        <w:t>Przegląd Statystyczny</w:t>
      </w:r>
      <w:r w:rsidR="00C81C11">
        <w:rPr>
          <w:b w:val="0"/>
          <w:sz w:val="24"/>
          <w:szCs w:val="24"/>
        </w:rPr>
        <w:t>, 2, 269-282.</w:t>
      </w:r>
    </w:p>
    <w:p w:rsidR="00FB327C" w:rsidRDefault="00FB327C" w:rsidP="00C81C11">
      <w:pPr>
        <w:pStyle w:val="Nagwek2"/>
        <w:shd w:val="clear" w:color="auto" w:fill="FFFFFF"/>
        <w:spacing w:before="0" w:beforeAutospacing="0" w:after="120" w:afterAutospacing="0"/>
        <w:ind w:left="567" w:hanging="567"/>
        <w:jc w:val="both"/>
        <w:textAlignment w:val="baseline"/>
        <w:rPr>
          <w:b w:val="0"/>
          <w:sz w:val="24"/>
          <w:szCs w:val="24"/>
        </w:rPr>
      </w:pPr>
      <w:r>
        <w:rPr>
          <w:b w:val="0"/>
          <w:sz w:val="24"/>
          <w:szCs w:val="24"/>
        </w:rPr>
        <w:t xml:space="preserve">Gorynia, M. (1988). Teoria handlu międzynarodowego a zagadnienie internacjonalizacji przedsiębiorstwa. </w:t>
      </w:r>
      <w:r w:rsidRPr="00FB327C">
        <w:rPr>
          <w:b w:val="0"/>
          <w:i/>
          <w:sz w:val="24"/>
          <w:szCs w:val="24"/>
        </w:rPr>
        <w:t>Ekonomista</w:t>
      </w:r>
      <w:r>
        <w:rPr>
          <w:b w:val="0"/>
          <w:sz w:val="24"/>
          <w:szCs w:val="24"/>
        </w:rPr>
        <w:t>, 5, 957-965.</w:t>
      </w:r>
    </w:p>
    <w:p w:rsidR="00676C61" w:rsidRDefault="00676C61" w:rsidP="00C81C11">
      <w:pPr>
        <w:pStyle w:val="Nagwek2"/>
        <w:shd w:val="clear" w:color="auto" w:fill="FFFFFF"/>
        <w:spacing w:before="0" w:beforeAutospacing="0" w:after="120" w:afterAutospacing="0"/>
        <w:ind w:left="567" w:hanging="567"/>
        <w:jc w:val="both"/>
        <w:textAlignment w:val="baseline"/>
        <w:rPr>
          <w:b w:val="0"/>
          <w:sz w:val="24"/>
          <w:szCs w:val="24"/>
        </w:rPr>
      </w:pPr>
      <w:r>
        <w:rPr>
          <w:b w:val="0"/>
          <w:sz w:val="24"/>
          <w:szCs w:val="24"/>
        </w:rPr>
        <w:t xml:space="preserve">Jasiński, L.J. (2014). </w:t>
      </w:r>
      <w:r w:rsidRPr="00676C61">
        <w:rPr>
          <w:b w:val="0"/>
          <w:i/>
          <w:sz w:val="24"/>
          <w:szCs w:val="24"/>
        </w:rPr>
        <w:t>Korzyści handlowe dla wszystkich. Uogólnienie i reinterpretacja teorii korzyści komparatywnych</w:t>
      </w:r>
      <w:r>
        <w:rPr>
          <w:b w:val="0"/>
          <w:sz w:val="24"/>
          <w:szCs w:val="24"/>
        </w:rPr>
        <w:t>. Warszawa: Centrum Europejskie Natolin.</w:t>
      </w:r>
    </w:p>
    <w:p w:rsidR="00373342" w:rsidRPr="009F45C4" w:rsidRDefault="00373342" w:rsidP="00B2313E">
      <w:pPr>
        <w:pStyle w:val="Nagwek2"/>
        <w:shd w:val="clear" w:color="auto" w:fill="FFFFFF"/>
        <w:spacing w:before="0" w:beforeAutospacing="0" w:after="120" w:afterAutospacing="0"/>
        <w:ind w:left="567" w:hanging="567"/>
        <w:jc w:val="both"/>
        <w:textAlignment w:val="baseline"/>
        <w:rPr>
          <w:b w:val="0"/>
          <w:sz w:val="24"/>
          <w:szCs w:val="24"/>
          <w:lang w:val="en-US"/>
        </w:rPr>
      </w:pPr>
      <w:r w:rsidRPr="009F45C4">
        <w:rPr>
          <w:b w:val="0"/>
          <w:sz w:val="24"/>
          <w:szCs w:val="24"/>
        </w:rPr>
        <w:t xml:space="preserve">Kufel, T. (2013). </w:t>
      </w:r>
      <w:r w:rsidRPr="009F45C4">
        <w:rPr>
          <w:b w:val="0"/>
          <w:i/>
          <w:sz w:val="24"/>
          <w:szCs w:val="24"/>
        </w:rPr>
        <w:t xml:space="preserve">Ekonometria. </w:t>
      </w:r>
      <w:r w:rsidRPr="00373342">
        <w:rPr>
          <w:b w:val="0"/>
          <w:i/>
          <w:sz w:val="24"/>
          <w:szCs w:val="24"/>
        </w:rPr>
        <w:t>Rozwiązywanie problemów z wykorzystaniem program GRETL</w:t>
      </w:r>
      <w:r>
        <w:rPr>
          <w:b w:val="0"/>
          <w:sz w:val="24"/>
          <w:szCs w:val="24"/>
        </w:rPr>
        <w:t xml:space="preserve">. </w:t>
      </w:r>
      <w:r w:rsidRPr="00093FEE">
        <w:rPr>
          <w:b w:val="0"/>
          <w:sz w:val="24"/>
          <w:szCs w:val="24"/>
          <w:lang w:val="en-US"/>
        </w:rPr>
        <w:t>Warsza</w:t>
      </w:r>
      <w:r w:rsidRPr="009F45C4">
        <w:rPr>
          <w:b w:val="0"/>
          <w:sz w:val="24"/>
          <w:szCs w:val="24"/>
          <w:lang w:val="en-US"/>
        </w:rPr>
        <w:t xml:space="preserve">wa: </w:t>
      </w:r>
      <w:proofErr w:type="spellStart"/>
      <w:r w:rsidRPr="009F45C4">
        <w:rPr>
          <w:b w:val="0"/>
          <w:sz w:val="24"/>
          <w:szCs w:val="24"/>
          <w:lang w:val="en-US"/>
        </w:rPr>
        <w:t>Wydawnictwo</w:t>
      </w:r>
      <w:proofErr w:type="spellEnd"/>
      <w:r w:rsidRPr="009F45C4">
        <w:rPr>
          <w:b w:val="0"/>
          <w:sz w:val="24"/>
          <w:szCs w:val="24"/>
          <w:lang w:val="en-US"/>
        </w:rPr>
        <w:t xml:space="preserve"> </w:t>
      </w:r>
      <w:proofErr w:type="spellStart"/>
      <w:r w:rsidRPr="009F45C4">
        <w:rPr>
          <w:b w:val="0"/>
          <w:sz w:val="24"/>
          <w:szCs w:val="24"/>
          <w:lang w:val="en-US"/>
        </w:rPr>
        <w:t>Naukowe</w:t>
      </w:r>
      <w:proofErr w:type="spellEnd"/>
      <w:r w:rsidRPr="009F45C4">
        <w:rPr>
          <w:b w:val="0"/>
          <w:sz w:val="24"/>
          <w:szCs w:val="24"/>
          <w:lang w:val="en-US"/>
        </w:rPr>
        <w:t xml:space="preserve"> PWN</w:t>
      </w:r>
      <w:r w:rsidR="00CC142E" w:rsidRPr="009F45C4">
        <w:rPr>
          <w:b w:val="0"/>
          <w:sz w:val="24"/>
          <w:szCs w:val="24"/>
          <w:lang w:val="en-US"/>
        </w:rPr>
        <w:t>.</w:t>
      </w:r>
    </w:p>
    <w:p w:rsidR="00F15A93" w:rsidRDefault="00F15A93" w:rsidP="00B2313E">
      <w:pPr>
        <w:pStyle w:val="Nagwek2"/>
        <w:shd w:val="clear" w:color="auto" w:fill="FFFFFF"/>
        <w:spacing w:before="0" w:beforeAutospacing="0" w:after="120" w:afterAutospacing="0"/>
        <w:ind w:left="567" w:hanging="567"/>
        <w:jc w:val="both"/>
        <w:textAlignment w:val="baseline"/>
        <w:rPr>
          <w:rFonts w:eastAsia="TimesNewRomanPS-ItalicMT"/>
          <w:b w:val="0"/>
          <w:iCs/>
          <w:sz w:val="24"/>
          <w:szCs w:val="24"/>
        </w:rPr>
      </w:pPr>
      <w:r w:rsidRPr="00F15A93">
        <w:rPr>
          <w:b w:val="0"/>
          <w:sz w:val="24"/>
          <w:szCs w:val="24"/>
          <w:lang w:val="en-US"/>
        </w:rPr>
        <w:t xml:space="preserve">Linder, S.B. (1961). </w:t>
      </w:r>
      <w:r w:rsidRPr="00F15A93">
        <w:rPr>
          <w:rFonts w:eastAsia="TimesNewRomanPS-ItalicMT"/>
          <w:b w:val="0"/>
          <w:i/>
          <w:iCs/>
          <w:sz w:val="24"/>
          <w:szCs w:val="24"/>
          <w:lang w:val="en-US"/>
        </w:rPr>
        <w:t>An Essay on Trade and Transformation</w:t>
      </w:r>
      <w:r>
        <w:rPr>
          <w:rFonts w:eastAsia="TimesNewRomanPS-ItalicMT"/>
          <w:b w:val="0"/>
          <w:i/>
          <w:iCs/>
          <w:sz w:val="24"/>
          <w:szCs w:val="24"/>
          <w:lang w:val="en-US"/>
        </w:rPr>
        <w:t xml:space="preserve">. </w:t>
      </w:r>
      <w:proofErr w:type="spellStart"/>
      <w:r>
        <w:rPr>
          <w:rFonts w:eastAsia="TimesNewRomanPS-ItalicMT"/>
          <w:b w:val="0"/>
          <w:iCs/>
          <w:sz w:val="24"/>
          <w:szCs w:val="24"/>
          <w:lang w:val="en-US"/>
        </w:rPr>
        <w:t>Almqvist</w:t>
      </w:r>
      <w:proofErr w:type="spellEnd"/>
      <w:r>
        <w:rPr>
          <w:rFonts w:eastAsia="TimesNewRomanPS-ItalicMT"/>
          <w:b w:val="0"/>
          <w:iCs/>
          <w:sz w:val="24"/>
          <w:szCs w:val="24"/>
          <w:lang w:val="en-US"/>
        </w:rPr>
        <w:t xml:space="preserve"> &amp; </w:t>
      </w:r>
      <w:proofErr w:type="spellStart"/>
      <w:r>
        <w:rPr>
          <w:rFonts w:eastAsia="TimesNewRomanPS-ItalicMT"/>
          <w:b w:val="0"/>
          <w:iCs/>
          <w:sz w:val="24"/>
          <w:szCs w:val="24"/>
          <w:lang w:val="en-US"/>
        </w:rPr>
        <w:t>Wiksells</w:t>
      </w:r>
      <w:proofErr w:type="spellEnd"/>
      <w:r>
        <w:rPr>
          <w:rFonts w:eastAsia="TimesNewRomanPS-ItalicMT"/>
          <w:b w:val="0"/>
          <w:iCs/>
          <w:sz w:val="24"/>
          <w:szCs w:val="24"/>
          <w:lang w:val="en-US"/>
        </w:rPr>
        <w:t xml:space="preserve"> </w:t>
      </w:r>
      <w:proofErr w:type="spellStart"/>
      <w:r>
        <w:rPr>
          <w:rFonts w:eastAsia="TimesNewRomanPS-ItalicMT"/>
          <w:b w:val="0"/>
          <w:iCs/>
          <w:sz w:val="24"/>
          <w:szCs w:val="24"/>
          <w:lang w:val="en-US"/>
        </w:rPr>
        <w:t>Boktrycketi</w:t>
      </w:r>
      <w:proofErr w:type="spellEnd"/>
      <w:r>
        <w:rPr>
          <w:rFonts w:eastAsia="TimesNewRomanPS-ItalicMT"/>
          <w:b w:val="0"/>
          <w:iCs/>
          <w:sz w:val="24"/>
          <w:szCs w:val="24"/>
          <w:lang w:val="en-US"/>
        </w:rPr>
        <w:t xml:space="preserve"> AB, Uppsala. </w:t>
      </w:r>
      <w:r w:rsidRPr="00F15A93">
        <w:rPr>
          <w:rFonts w:eastAsia="TimesNewRomanPS-ItalicMT"/>
          <w:b w:val="0"/>
          <w:iCs/>
          <w:sz w:val="24"/>
          <w:szCs w:val="24"/>
        </w:rPr>
        <w:t>Pozyskano ze strony https://ex.hhs.se/dissertations/221624-FULLTEXT01.pdf</w:t>
      </w:r>
      <w:r>
        <w:rPr>
          <w:rFonts w:eastAsia="TimesNewRomanPS-ItalicMT"/>
          <w:b w:val="0"/>
          <w:iCs/>
          <w:sz w:val="24"/>
          <w:szCs w:val="24"/>
        </w:rPr>
        <w:t xml:space="preserve"> (dostęp: listopad 2016).</w:t>
      </w:r>
    </w:p>
    <w:p w:rsidR="00D6215A" w:rsidRDefault="00D6215A" w:rsidP="00B2313E">
      <w:pPr>
        <w:pStyle w:val="Nagwek2"/>
        <w:shd w:val="clear" w:color="auto" w:fill="FFFFFF"/>
        <w:spacing w:before="0" w:beforeAutospacing="0" w:after="120" w:afterAutospacing="0"/>
        <w:ind w:left="567" w:hanging="567"/>
        <w:jc w:val="both"/>
        <w:textAlignment w:val="baseline"/>
        <w:rPr>
          <w:rFonts w:eastAsia="TimesNewRomanPS-ItalicMT"/>
          <w:b w:val="0"/>
          <w:iCs/>
          <w:sz w:val="24"/>
          <w:szCs w:val="24"/>
        </w:rPr>
      </w:pPr>
      <w:r>
        <w:rPr>
          <w:rFonts w:eastAsia="TimesNewRomanPS-ItalicMT"/>
          <w:b w:val="0"/>
          <w:iCs/>
          <w:sz w:val="24"/>
          <w:szCs w:val="24"/>
        </w:rPr>
        <w:t xml:space="preserve">Martyniak, M. (2015). Analiza wpływu wybranych czynników społeczno-ekonomicznych na poziom współczynnika dzietności w Polsce. [W:] A. Prędki (red.), </w:t>
      </w:r>
      <w:r w:rsidRPr="00047D45">
        <w:rPr>
          <w:rFonts w:eastAsia="TimesNewRomanPS-ItalicMT"/>
          <w:b w:val="0"/>
          <w:i/>
          <w:iCs/>
          <w:sz w:val="24"/>
          <w:szCs w:val="24"/>
        </w:rPr>
        <w:t>Wybrane zastosowania narzędzi analitycznych w naukach ekonomicznych</w:t>
      </w:r>
      <w:r>
        <w:rPr>
          <w:rFonts w:eastAsia="TimesNewRomanPS-ItalicMT"/>
          <w:b w:val="0"/>
          <w:iCs/>
          <w:sz w:val="24"/>
          <w:szCs w:val="24"/>
        </w:rPr>
        <w:t xml:space="preserve">. (s. </w:t>
      </w:r>
      <w:r w:rsidR="00047D45">
        <w:rPr>
          <w:rFonts w:eastAsia="TimesNewRomanPS-ItalicMT"/>
          <w:b w:val="0"/>
          <w:iCs/>
          <w:sz w:val="24"/>
          <w:szCs w:val="24"/>
        </w:rPr>
        <w:t>81-90). Kraków: Mfiles.pl</w:t>
      </w:r>
      <w:r w:rsidR="00CC142E">
        <w:rPr>
          <w:rFonts w:eastAsia="TimesNewRomanPS-ItalicMT"/>
          <w:b w:val="0"/>
          <w:iCs/>
          <w:sz w:val="24"/>
          <w:szCs w:val="24"/>
        </w:rPr>
        <w:t>.</w:t>
      </w:r>
    </w:p>
    <w:p w:rsidR="00291F84" w:rsidRDefault="00291F84" w:rsidP="00B2313E">
      <w:pPr>
        <w:pStyle w:val="Nagwek2"/>
        <w:shd w:val="clear" w:color="auto" w:fill="FFFFFF"/>
        <w:spacing w:before="0" w:beforeAutospacing="0" w:after="120" w:afterAutospacing="0"/>
        <w:ind w:left="567" w:hanging="567"/>
        <w:jc w:val="both"/>
        <w:textAlignment w:val="baseline"/>
        <w:rPr>
          <w:rFonts w:eastAsia="TimesNewRomanPS-ItalicMT"/>
          <w:b w:val="0"/>
          <w:iCs/>
          <w:sz w:val="24"/>
          <w:szCs w:val="24"/>
        </w:rPr>
      </w:pPr>
      <w:r>
        <w:rPr>
          <w:rFonts w:eastAsia="TimesNewRomanPS-ItalicMT"/>
          <w:b w:val="0"/>
          <w:iCs/>
          <w:sz w:val="24"/>
          <w:szCs w:val="24"/>
        </w:rPr>
        <w:t xml:space="preserve">Michałek, J.J., Nowy nurt w teorii handlu międzynarodowego i jego znaczenie dla analizy skutków integracji walutowej w krajach Europy Środkowo-Wschodniej. [W:] M. Gorynia, &amp; S. Rudolf (red.) </w:t>
      </w:r>
      <w:r w:rsidRPr="00291F84">
        <w:rPr>
          <w:rFonts w:eastAsia="TimesNewRomanPS-ItalicMT"/>
          <w:b w:val="0"/>
          <w:i/>
          <w:iCs/>
          <w:sz w:val="24"/>
          <w:szCs w:val="24"/>
        </w:rPr>
        <w:t>Polska w Unii Europejskiej i globalnej gospodarce</w:t>
      </w:r>
      <w:r w:rsidR="00FB327C">
        <w:rPr>
          <w:rFonts w:eastAsia="TimesNewRomanPS-ItalicMT"/>
          <w:b w:val="0"/>
          <w:iCs/>
          <w:sz w:val="24"/>
          <w:szCs w:val="24"/>
        </w:rPr>
        <w:t>. (s. 387-397). Warszawa: Polsk</w:t>
      </w:r>
      <w:r>
        <w:rPr>
          <w:rFonts w:eastAsia="TimesNewRomanPS-ItalicMT"/>
          <w:b w:val="0"/>
          <w:iCs/>
          <w:sz w:val="24"/>
          <w:szCs w:val="24"/>
        </w:rPr>
        <w:t>ie Towarzystwo Ekonomiczne.</w:t>
      </w:r>
    </w:p>
    <w:p w:rsidR="00900D59" w:rsidRDefault="00900D59" w:rsidP="00B2313E">
      <w:pPr>
        <w:pStyle w:val="Nagwek2"/>
        <w:shd w:val="clear" w:color="auto" w:fill="FFFFFF"/>
        <w:spacing w:before="0" w:beforeAutospacing="0" w:after="120" w:afterAutospacing="0"/>
        <w:ind w:left="567" w:hanging="567"/>
        <w:jc w:val="both"/>
        <w:textAlignment w:val="baseline"/>
        <w:rPr>
          <w:rFonts w:eastAsia="TimesNewRomanPS-ItalicMT"/>
          <w:b w:val="0"/>
          <w:iCs/>
          <w:sz w:val="24"/>
          <w:szCs w:val="24"/>
        </w:rPr>
      </w:pPr>
      <w:proofErr w:type="spellStart"/>
      <w:r>
        <w:rPr>
          <w:rFonts w:eastAsia="TimesNewRomanPS-ItalicMT"/>
          <w:b w:val="0"/>
          <w:iCs/>
          <w:sz w:val="24"/>
          <w:szCs w:val="24"/>
        </w:rPr>
        <w:t>Misala</w:t>
      </w:r>
      <w:proofErr w:type="spellEnd"/>
      <w:r>
        <w:rPr>
          <w:rFonts w:eastAsia="TimesNewRomanPS-ItalicMT"/>
          <w:b w:val="0"/>
          <w:iCs/>
          <w:sz w:val="24"/>
          <w:szCs w:val="24"/>
        </w:rPr>
        <w:t xml:space="preserve">, J. (2001). </w:t>
      </w:r>
      <w:r w:rsidRPr="00900D59">
        <w:rPr>
          <w:rFonts w:eastAsia="TimesNewRomanPS-ItalicMT"/>
          <w:b w:val="0"/>
          <w:i/>
          <w:iCs/>
          <w:sz w:val="24"/>
          <w:szCs w:val="24"/>
        </w:rPr>
        <w:t>Współczesne teorie wymiany międzynarodowej i zagranicznej polityku ekonomicznej</w:t>
      </w:r>
      <w:r>
        <w:rPr>
          <w:rFonts w:eastAsia="TimesNewRomanPS-ItalicMT"/>
          <w:b w:val="0"/>
          <w:iCs/>
          <w:sz w:val="24"/>
          <w:szCs w:val="24"/>
        </w:rPr>
        <w:t>. Warszawa: Szkoła Główna Handlowa.</w:t>
      </w:r>
    </w:p>
    <w:p w:rsidR="00E21D83" w:rsidRPr="00F15A93" w:rsidRDefault="00E21D83" w:rsidP="00B2313E">
      <w:pPr>
        <w:pStyle w:val="Nagwek2"/>
        <w:shd w:val="clear" w:color="auto" w:fill="FFFFFF"/>
        <w:spacing w:before="0" w:beforeAutospacing="0" w:after="120" w:afterAutospacing="0"/>
        <w:ind w:left="567" w:hanging="567"/>
        <w:jc w:val="both"/>
        <w:textAlignment w:val="baseline"/>
        <w:rPr>
          <w:b w:val="0"/>
          <w:sz w:val="24"/>
          <w:szCs w:val="24"/>
        </w:rPr>
      </w:pPr>
      <w:proofErr w:type="spellStart"/>
      <w:r>
        <w:rPr>
          <w:rFonts w:eastAsia="TimesNewRomanPS-ItalicMT"/>
          <w:b w:val="0"/>
          <w:iCs/>
          <w:sz w:val="24"/>
          <w:szCs w:val="24"/>
        </w:rPr>
        <w:t>Morawczyński</w:t>
      </w:r>
      <w:proofErr w:type="spellEnd"/>
      <w:r>
        <w:rPr>
          <w:rFonts w:eastAsia="TimesNewRomanPS-ItalicMT"/>
          <w:b w:val="0"/>
          <w:iCs/>
          <w:sz w:val="24"/>
          <w:szCs w:val="24"/>
        </w:rPr>
        <w:t xml:space="preserve">, R. (2005). Eksport małych i średnich przedsiębiorstw a zatrudnienie. </w:t>
      </w:r>
      <w:r w:rsidRPr="00E21D83">
        <w:rPr>
          <w:rFonts w:eastAsia="TimesNewRomanPS-ItalicMT"/>
          <w:b w:val="0"/>
          <w:i/>
          <w:iCs/>
          <w:sz w:val="24"/>
          <w:szCs w:val="24"/>
        </w:rPr>
        <w:t>Zeszyty Naukowe Akademii Ekonomicznej w Krakowie</w:t>
      </w:r>
      <w:r>
        <w:rPr>
          <w:rFonts w:eastAsia="TimesNewRomanPS-ItalicMT"/>
          <w:b w:val="0"/>
          <w:iCs/>
          <w:sz w:val="24"/>
          <w:szCs w:val="24"/>
        </w:rPr>
        <w:t>, 684, 42-56.</w:t>
      </w:r>
    </w:p>
    <w:p w:rsidR="00906888" w:rsidRPr="00840715" w:rsidRDefault="00906888" w:rsidP="00B2313E">
      <w:pPr>
        <w:pStyle w:val="Nagwek2"/>
        <w:shd w:val="clear" w:color="auto" w:fill="FFFFFF"/>
        <w:spacing w:before="0" w:beforeAutospacing="0" w:after="120" w:afterAutospacing="0"/>
        <w:ind w:left="567" w:hanging="567"/>
        <w:jc w:val="both"/>
        <w:textAlignment w:val="baseline"/>
        <w:rPr>
          <w:b w:val="0"/>
          <w:sz w:val="24"/>
          <w:szCs w:val="24"/>
        </w:rPr>
      </w:pPr>
      <w:r>
        <w:rPr>
          <w:b w:val="0"/>
          <w:sz w:val="24"/>
          <w:szCs w:val="24"/>
        </w:rPr>
        <w:t>Pietrzak, M.B. &amp; Łapińska, J. (2014). Zastosowanie modelu grawitacji do identyfikacji czynników determinujących przepły</w:t>
      </w:r>
      <w:r w:rsidR="00C81C11">
        <w:rPr>
          <w:b w:val="0"/>
          <w:sz w:val="24"/>
          <w:szCs w:val="24"/>
        </w:rPr>
        <w:t>wy handlowe w Unii Europejskiej.</w:t>
      </w:r>
      <w:r>
        <w:rPr>
          <w:b w:val="0"/>
          <w:sz w:val="24"/>
          <w:szCs w:val="24"/>
        </w:rPr>
        <w:t xml:space="preserve"> </w:t>
      </w:r>
      <w:r w:rsidRPr="00906888">
        <w:rPr>
          <w:b w:val="0"/>
          <w:i/>
          <w:sz w:val="24"/>
          <w:szCs w:val="24"/>
        </w:rPr>
        <w:t>Przegląd Statystyczny</w:t>
      </w:r>
      <w:r>
        <w:rPr>
          <w:b w:val="0"/>
          <w:sz w:val="24"/>
          <w:szCs w:val="24"/>
        </w:rPr>
        <w:t>, 1, 65-77.</w:t>
      </w:r>
    </w:p>
    <w:p w:rsidR="00222307" w:rsidRDefault="00222307" w:rsidP="00222307">
      <w:pPr>
        <w:spacing w:after="120" w:line="240" w:lineRule="auto"/>
        <w:ind w:left="567" w:hanging="567"/>
        <w:jc w:val="both"/>
        <w:rPr>
          <w:szCs w:val="24"/>
        </w:rPr>
      </w:pPr>
      <w:r w:rsidRPr="00315C5D">
        <w:rPr>
          <w:szCs w:val="24"/>
        </w:rPr>
        <w:t xml:space="preserve">Pluciński, E.M. (2005). </w:t>
      </w:r>
      <w:r w:rsidRPr="00315C5D">
        <w:rPr>
          <w:i/>
          <w:szCs w:val="24"/>
        </w:rPr>
        <w:t>Konkurencyjność strukturalna polskiej gospodarki na wspólnym rynku Unii Europejskiej</w:t>
      </w:r>
      <w:r w:rsidR="00373342">
        <w:rPr>
          <w:szCs w:val="24"/>
        </w:rPr>
        <w:t>.</w:t>
      </w:r>
      <w:r w:rsidRPr="00315C5D">
        <w:rPr>
          <w:szCs w:val="24"/>
        </w:rPr>
        <w:t xml:space="preserve"> Warszawa: Instytut Stosunków Międzynarodowych Uniwersytetu Warszawskiego, Fundacja Studiów Międzynarodowych.</w:t>
      </w:r>
    </w:p>
    <w:p w:rsidR="00BE0945" w:rsidRPr="009F45C4" w:rsidRDefault="00BE0945" w:rsidP="00222307">
      <w:pPr>
        <w:spacing w:after="120" w:line="240" w:lineRule="auto"/>
        <w:ind w:left="567" w:hanging="567"/>
        <w:jc w:val="both"/>
        <w:rPr>
          <w:szCs w:val="24"/>
          <w:lang w:val="en-US"/>
        </w:rPr>
      </w:pPr>
      <w:proofErr w:type="spellStart"/>
      <w:r>
        <w:rPr>
          <w:szCs w:val="24"/>
        </w:rPr>
        <w:lastRenderedPageBreak/>
        <w:t>Salamaga</w:t>
      </w:r>
      <w:proofErr w:type="spellEnd"/>
      <w:r>
        <w:rPr>
          <w:szCs w:val="24"/>
        </w:rPr>
        <w:t xml:space="preserve">, M. (2010). Wykorzystanie modelowania panelowego do analizy wpływu wartości i struktury </w:t>
      </w:r>
      <w:r w:rsidRPr="00BE0945">
        <w:rPr>
          <w:szCs w:val="24"/>
        </w:rPr>
        <w:t xml:space="preserve">bezpośrednich inwestycji zagranicznych na handel zagraniczny Polski. </w:t>
      </w:r>
      <w:proofErr w:type="spellStart"/>
      <w:r w:rsidRPr="009F45C4">
        <w:rPr>
          <w:i/>
          <w:szCs w:val="24"/>
          <w:lang w:val="en-US"/>
        </w:rPr>
        <w:t>Przegląd</w:t>
      </w:r>
      <w:proofErr w:type="spellEnd"/>
      <w:r w:rsidRPr="009F45C4">
        <w:rPr>
          <w:i/>
          <w:szCs w:val="24"/>
          <w:lang w:val="en-US"/>
        </w:rPr>
        <w:t xml:space="preserve"> </w:t>
      </w:r>
      <w:proofErr w:type="spellStart"/>
      <w:r w:rsidRPr="009F45C4">
        <w:rPr>
          <w:i/>
          <w:szCs w:val="24"/>
          <w:lang w:val="en-US"/>
        </w:rPr>
        <w:t>Statystyczny</w:t>
      </w:r>
      <w:proofErr w:type="spellEnd"/>
      <w:r w:rsidRPr="009F45C4">
        <w:rPr>
          <w:szCs w:val="24"/>
          <w:lang w:val="en-US"/>
        </w:rPr>
        <w:t>, 2-3, 53-62.</w:t>
      </w:r>
    </w:p>
    <w:p w:rsidR="00600D5E" w:rsidRPr="00F012CC" w:rsidRDefault="00600D5E" w:rsidP="002E7205">
      <w:pPr>
        <w:pStyle w:val="Nagwek1"/>
        <w:shd w:val="clear" w:color="auto" w:fill="FFFFFF"/>
        <w:spacing w:before="0" w:after="120" w:line="240" w:lineRule="auto"/>
        <w:ind w:left="567" w:hanging="567"/>
        <w:jc w:val="both"/>
        <w:rPr>
          <w:rFonts w:ascii="Times New Roman" w:hAnsi="Times New Roman" w:cs="Times New Roman"/>
          <w:b w:val="0"/>
          <w:bCs w:val="0"/>
          <w:color w:val="auto"/>
          <w:sz w:val="24"/>
          <w:szCs w:val="24"/>
          <w:lang w:val="en-US"/>
        </w:rPr>
      </w:pPr>
      <w:r w:rsidRPr="002E7205">
        <w:rPr>
          <w:rFonts w:ascii="Times New Roman" w:hAnsi="Times New Roman" w:cs="Times New Roman"/>
          <w:b w:val="0"/>
          <w:color w:val="auto"/>
          <w:sz w:val="24"/>
          <w:szCs w:val="24"/>
          <w:lang w:val="en-US"/>
        </w:rPr>
        <w:t xml:space="preserve">Shin, Y., &amp; </w:t>
      </w:r>
      <w:proofErr w:type="spellStart"/>
      <w:r w:rsidRPr="002E7205">
        <w:rPr>
          <w:rFonts w:ascii="Times New Roman" w:hAnsi="Times New Roman" w:cs="Times New Roman"/>
          <w:b w:val="0"/>
          <w:color w:val="auto"/>
          <w:sz w:val="24"/>
          <w:szCs w:val="24"/>
          <w:lang w:val="en-US"/>
        </w:rPr>
        <w:t>Serlenga</w:t>
      </w:r>
      <w:proofErr w:type="spellEnd"/>
      <w:r w:rsidRPr="002E7205">
        <w:rPr>
          <w:rFonts w:ascii="Times New Roman" w:hAnsi="Times New Roman" w:cs="Times New Roman"/>
          <w:b w:val="0"/>
          <w:color w:val="auto"/>
          <w:sz w:val="24"/>
          <w:szCs w:val="24"/>
          <w:lang w:val="en-US"/>
        </w:rPr>
        <w:t xml:space="preserve"> L.</w:t>
      </w:r>
      <w:r w:rsidR="003D39E2">
        <w:rPr>
          <w:rFonts w:ascii="Times New Roman" w:hAnsi="Times New Roman" w:cs="Times New Roman"/>
          <w:b w:val="0"/>
          <w:color w:val="auto"/>
          <w:sz w:val="24"/>
          <w:szCs w:val="24"/>
          <w:lang w:val="en-US"/>
        </w:rPr>
        <w:t xml:space="preserve"> (2004</w:t>
      </w:r>
      <w:r w:rsidR="002E7205">
        <w:rPr>
          <w:rFonts w:ascii="Times New Roman" w:hAnsi="Times New Roman" w:cs="Times New Roman"/>
          <w:b w:val="0"/>
          <w:color w:val="auto"/>
          <w:sz w:val="24"/>
          <w:szCs w:val="24"/>
          <w:lang w:val="en-US"/>
        </w:rPr>
        <w:t>).</w:t>
      </w:r>
      <w:r w:rsidRPr="002E7205">
        <w:rPr>
          <w:rFonts w:ascii="Times New Roman" w:hAnsi="Times New Roman" w:cs="Times New Roman"/>
          <w:b w:val="0"/>
          <w:color w:val="auto"/>
          <w:sz w:val="24"/>
          <w:szCs w:val="24"/>
          <w:lang w:val="en-US"/>
        </w:rPr>
        <w:t xml:space="preserve"> </w:t>
      </w:r>
      <w:r w:rsidR="003D39E2" w:rsidRPr="003D39E2">
        <w:rPr>
          <w:rFonts w:ascii="Times New Roman" w:hAnsi="Times New Roman" w:cs="Times New Roman"/>
          <w:b w:val="0"/>
          <w:i/>
          <w:color w:val="auto"/>
          <w:sz w:val="24"/>
          <w:szCs w:val="24"/>
          <w:lang w:val="en-US"/>
        </w:rPr>
        <w:t xml:space="preserve">Gravity Models of the Intra-EU Trade: Application of the </w:t>
      </w:r>
      <w:proofErr w:type="spellStart"/>
      <w:r w:rsidR="003D39E2" w:rsidRPr="003D39E2">
        <w:rPr>
          <w:rFonts w:ascii="Times New Roman" w:hAnsi="Times New Roman" w:cs="Times New Roman"/>
          <w:b w:val="0"/>
          <w:i/>
          <w:color w:val="auto"/>
          <w:sz w:val="24"/>
          <w:szCs w:val="24"/>
          <w:lang w:val="en-US"/>
        </w:rPr>
        <w:t>Hausman</w:t>
      </w:r>
      <w:proofErr w:type="spellEnd"/>
      <w:r w:rsidR="003D39E2" w:rsidRPr="003D39E2">
        <w:rPr>
          <w:rFonts w:ascii="Times New Roman" w:hAnsi="Times New Roman" w:cs="Times New Roman"/>
          <w:b w:val="0"/>
          <w:i/>
          <w:color w:val="auto"/>
          <w:sz w:val="24"/>
          <w:szCs w:val="24"/>
          <w:lang w:val="en-US"/>
        </w:rPr>
        <w:t>-Taylor Estimation in Heterogeneous Panels with Common Time-specific Factors</w:t>
      </w:r>
      <w:r w:rsidR="003D39E2">
        <w:rPr>
          <w:rFonts w:ascii="Times New Roman" w:hAnsi="Times New Roman" w:cs="Times New Roman"/>
          <w:b w:val="0"/>
          <w:color w:val="auto"/>
          <w:sz w:val="24"/>
          <w:szCs w:val="24"/>
          <w:lang w:val="en-US"/>
        </w:rPr>
        <w:t xml:space="preserve">. University of Edinburgh, Edinburgh. </w:t>
      </w:r>
      <w:proofErr w:type="spellStart"/>
      <w:r w:rsidR="003D39E2" w:rsidRPr="00F012CC">
        <w:rPr>
          <w:rFonts w:ascii="Times New Roman" w:hAnsi="Times New Roman" w:cs="Times New Roman"/>
          <w:b w:val="0"/>
          <w:color w:val="auto"/>
          <w:sz w:val="24"/>
          <w:szCs w:val="24"/>
          <w:lang w:val="en-US"/>
        </w:rPr>
        <w:t>Pozyskano</w:t>
      </w:r>
      <w:proofErr w:type="spellEnd"/>
      <w:r w:rsidR="003D39E2" w:rsidRPr="00F012CC">
        <w:rPr>
          <w:rFonts w:ascii="Times New Roman" w:hAnsi="Times New Roman" w:cs="Times New Roman"/>
          <w:b w:val="0"/>
          <w:color w:val="auto"/>
          <w:sz w:val="24"/>
          <w:szCs w:val="24"/>
          <w:lang w:val="en-US"/>
        </w:rPr>
        <w:t xml:space="preserve"> </w:t>
      </w:r>
      <w:proofErr w:type="spellStart"/>
      <w:r w:rsidR="003D39E2" w:rsidRPr="00F012CC">
        <w:rPr>
          <w:rFonts w:ascii="Times New Roman" w:hAnsi="Times New Roman" w:cs="Times New Roman"/>
          <w:b w:val="0"/>
          <w:color w:val="auto"/>
          <w:sz w:val="24"/>
          <w:szCs w:val="24"/>
          <w:lang w:val="en-US"/>
        </w:rPr>
        <w:t>ze</w:t>
      </w:r>
      <w:proofErr w:type="spellEnd"/>
      <w:r w:rsidR="003D39E2" w:rsidRPr="00F012CC">
        <w:rPr>
          <w:rFonts w:ascii="Times New Roman" w:hAnsi="Times New Roman" w:cs="Times New Roman"/>
          <w:b w:val="0"/>
          <w:color w:val="auto"/>
          <w:sz w:val="24"/>
          <w:szCs w:val="24"/>
          <w:lang w:val="en-US"/>
        </w:rPr>
        <w:t xml:space="preserve"> </w:t>
      </w:r>
      <w:proofErr w:type="spellStart"/>
      <w:r w:rsidR="003D39E2" w:rsidRPr="00F012CC">
        <w:rPr>
          <w:rFonts w:ascii="Times New Roman" w:hAnsi="Times New Roman" w:cs="Times New Roman"/>
          <w:b w:val="0"/>
          <w:color w:val="auto"/>
          <w:sz w:val="24"/>
          <w:szCs w:val="24"/>
          <w:lang w:val="en-US"/>
        </w:rPr>
        <w:t>strony</w:t>
      </w:r>
      <w:proofErr w:type="spellEnd"/>
      <w:r w:rsidR="003D39E2" w:rsidRPr="00F012CC">
        <w:rPr>
          <w:rFonts w:ascii="Times New Roman" w:hAnsi="Times New Roman" w:cs="Times New Roman"/>
          <w:b w:val="0"/>
          <w:color w:val="auto"/>
          <w:sz w:val="24"/>
          <w:szCs w:val="24"/>
          <w:lang w:val="en-US"/>
        </w:rPr>
        <w:t xml:space="preserve"> http://www.econ.ed.ac.uk/papers/id105_esedps.pdf (</w:t>
      </w:r>
      <w:proofErr w:type="spellStart"/>
      <w:r w:rsidR="003D39E2" w:rsidRPr="00F012CC">
        <w:rPr>
          <w:rFonts w:ascii="Times New Roman" w:hAnsi="Times New Roman" w:cs="Times New Roman"/>
          <w:b w:val="0"/>
          <w:color w:val="auto"/>
          <w:sz w:val="24"/>
          <w:szCs w:val="24"/>
          <w:lang w:val="en-US"/>
        </w:rPr>
        <w:t>dostęp</w:t>
      </w:r>
      <w:proofErr w:type="spellEnd"/>
      <w:r w:rsidR="003D39E2" w:rsidRPr="00F012CC">
        <w:rPr>
          <w:rFonts w:ascii="Times New Roman" w:hAnsi="Times New Roman" w:cs="Times New Roman"/>
          <w:b w:val="0"/>
          <w:color w:val="auto"/>
          <w:sz w:val="24"/>
          <w:szCs w:val="24"/>
          <w:lang w:val="en-US"/>
        </w:rPr>
        <w:t xml:space="preserve">: </w:t>
      </w:r>
      <w:proofErr w:type="spellStart"/>
      <w:r w:rsidR="003D39E2" w:rsidRPr="00F012CC">
        <w:rPr>
          <w:rFonts w:ascii="Times New Roman" w:hAnsi="Times New Roman" w:cs="Times New Roman"/>
          <w:b w:val="0"/>
          <w:color w:val="auto"/>
          <w:sz w:val="24"/>
          <w:szCs w:val="24"/>
          <w:lang w:val="en-US"/>
        </w:rPr>
        <w:t>listopad</w:t>
      </w:r>
      <w:proofErr w:type="spellEnd"/>
      <w:r w:rsidR="003D39E2" w:rsidRPr="00F012CC">
        <w:rPr>
          <w:rFonts w:ascii="Times New Roman" w:hAnsi="Times New Roman" w:cs="Times New Roman"/>
          <w:b w:val="0"/>
          <w:color w:val="auto"/>
          <w:sz w:val="24"/>
          <w:szCs w:val="24"/>
          <w:lang w:val="en-US"/>
        </w:rPr>
        <w:t xml:space="preserve"> 2016).</w:t>
      </w:r>
    </w:p>
    <w:p w:rsidR="000F1001" w:rsidRDefault="000F1001" w:rsidP="00222307">
      <w:pPr>
        <w:spacing w:after="120" w:line="240" w:lineRule="auto"/>
        <w:ind w:left="567" w:hanging="567"/>
        <w:jc w:val="both"/>
        <w:rPr>
          <w:szCs w:val="24"/>
        </w:rPr>
      </w:pPr>
      <w:r w:rsidRPr="00A21907">
        <w:rPr>
          <w:szCs w:val="24"/>
          <w:lang w:val="en-US"/>
        </w:rPr>
        <w:t>UNCTAD</w:t>
      </w:r>
      <w:r w:rsidR="00FA15FD" w:rsidRPr="00A21907">
        <w:rPr>
          <w:szCs w:val="24"/>
          <w:lang w:val="en-US"/>
        </w:rPr>
        <w:t>.</w:t>
      </w:r>
      <w:r w:rsidRPr="00A21907">
        <w:rPr>
          <w:szCs w:val="24"/>
          <w:lang w:val="en-US"/>
        </w:rPr>
        <w:t xml:space="preserve"> </w:t>
      </w:r>
      <w:r w:rsidRPr="00FA15FD">
        <w:rPr>
          <w:szCs w:val="24"/>
        </w:rPr>
        <w:t xml:space="preserve">(2016). </w:t>
      </w:r>
      <w:r w:rsidR="00047D45" w:rsidRPr="00047D45">
        <w:rPr>
          <w:szCs w:val="24"/>
        </w:rPr>
        <w:t xml:space="preserve">Pozyskano ze strony </w:t>
      </w:r>
      <w:r w:rsidRPr="00047D45">
        <w:rPr>
          <w:szCs w:val="24"/>
        </w:rPr>
        <w:t>http://unctadstat.unctad.org (dostęp: listopad 2016).</w:t>
      </w:r>
    </w:p>
    <w:p w:rsidR="00842192" w:rsidRPr="00047D45" w:rsidRDefault="00842192" w:rsidP="00222307">
      <w:pPr>
        <w:spacing w:after="120" w:line="240" w:lineRule="auto"/>
        <w:ind w:left="567" w:hanging="567"/>
        <w:jc w:val="both"/>
        <w:rPr>
          <w:szCs w:val="24"/>
        </w:rPr>
      </w:pPr>
      <w:proofErr w:type="spellStart"/>
      <w:r>
        <w:rPr>
          <w:szCs w:val="24"/>
        </w:rPr>
        <w:t>Wydymus</w:t>
      </w:r>
      <w:proofErr w:type="spellEnd"/>
      <w:r>
        <w:rPr>
          <w:szCs w:val="24"/>
        </w:rPr>
        <w:t>, S. (1988). Analiza porównawcza struktur gospodarczych</w:t>
      </w:r>
      <w:r w:rsidR="00291F84">
        <w:rPr>
          <w:szCs w:val="24"/>
        </w:rPr>
        <w:t>.</w:t>
      </w:r>
      <w:r>
        <w:rPr>
          <w:szCs w:val="24"/>
        </w:rPr>
        <w:t xml:space="preserve"> [W:] A. </w:t>
      </w:r>
      <w:proofErr w:type="spellStart"/>
      <w:r>
        <w:rPr>
          <w:szCs w:val="24"/>
        </w:rPr>
        <w:t>Zeliaś</w:t>
      </w:r>
      <w:proofErr w:type="spellEnd"/>
      <w:r>
        <w:rPr>
          <w:szCs w:val="24"/>
        </w:rPr>
        <w:t xml:space="preserve"> (red.), </w:t>
      </w:r>
      <w:r w:rsidRPr="00842192">
        <w:rPr>
          <w:i/>
          <w:szCs w:val="24"/>
        </w:rPr>
        <w:t>Metody statystyki międzynarodowej</w:t>
      </w:r>
      <w:r>
        <w:rPr>
          <w:szCs w:val="24"/>
        </w:rPr>
        <w:t>. (s. 162-199). Warszawa: Państwowe Wydawnictwo Ekonomiczne.</w:t>
      </w:r>
    </w:p>
    <w:p w:rsidR="00315C5D" w:rsidRDefault="00315C5D" w:rsidP="00222307">
      <w:pPr>
        <w:spacing w:after="120" w:line="240" w:lineRule="auto"/>
        <w:ind w:left="567" w:hanging="567"/>
        <w:jc w:val="both"/>
        <w:rPr>
          <w:szCs w:val="24"/>
        </w:rPr>
      </w:pPr>
      <w:r w:rsidRPr="00F012CC">
        <w:rPr>
          <w:rFonts w:eastAsia="Calibri" w:cs="Calibri"/>
        </w:rPr>
        <w:t xml:space="preserve">Wysokińska, </w:t>
      </w:r>
      <w:r w:rsidRPr="00F012CC">
        <w:t xml:space="preserve">Z. (2001). </w:t>
      </w:r>
      <w:r w:rsidRPr="00F012CC">
        <w:rPr>
          <w:rFonts w:eastAsia="Calibri" w:cs="Calibri"/>
          <w:i/>
        </w:rPr>
        <w:t>Konkurencyjność w międzynarodo</w:t>
      </w:r>
      <w:r w:rsidRPr="00712A69">
        <w:rPr>
          <w:rFonts w:eastAsia="Calibri" w:cs="Calibri"/>
          <w:i/>
        </w:rPr>
        <w:t>wym i globalnym handlu technologiami</w:t>
      </w:r>
      <w:r w:rsidR="00373342">
        <w:rPr>
          <w:rFonts w:eastAsia="Calibri" w:cs="Calibri"/>
        </w:rPr>
        <w:t>.</w:t>
      </w:r>
      <w:r>
        <w:rPr>
          <w:rFonts w:eastAsia="Calibri" w:cs="Calibri"/>
        </w:rPr>
        <w:t xml:space="preserve"> </w:t>
      </w:r>
      <w:r>
        <w:t xml:space="preserve">Warszawa-Łódź: </w:t>
      </w:r>
      <w:r>
        <w:rPr>
          <w:rFonts w:eastAsia="Calibri" w:cs="Calibri"/>
        </w:rPr>
        <w:t>Wydawnictwo Naukowe PWN</w:t>
      </w:r>
      <w:r>
        <w:t>.</w:t>
      </w:r>
    </w:p>
    <w:p w:rsidR="00315C5D" w:rsidRPr="009F45C4" w:rsidRDefault="00315C5D" w:rsidP="00222307">
      <w:pPr>
        <w:spacing w:after="120" w:line="240" w:lineRule="auto"/>
        <w:ind w:left="567" w:hanging="567"/>
        <w:jc w:val="both"/>
        <w:rPr>
          <w:szCs w:val="24"/>
        </w:rPr>
      </w:pPr>
      <w:r w:rsidRPr="00315C5D">
        <w:rPr>
          <w:rFonts w:eastAsia="Calibri" w:cs="Calibri"/>
          <w:szCs w:val="24"/>
        </w:rPr>
        <w:t xml:space="preserve">Wysokińska, </w:t>
      </w:r>
      <w:r>
        <w:rPr>
          <w:szCs w:val="24"/>
        </w:rPr>
        <w:t xml:space="preserve">Z., &amp; </w:t>
      </w:r>
      <w:r w:rsidRPr="00315C5D">
        <w:rPr>
          <w:rFonts w:eastAsia="Calibri" w:cs="Calibri"/>
          <w:szCs w:val="24"/>
        </w:rPr>
        <w:t>Witkowska,</w:t>
      </w:r>
      <w:r>
        <w:rPr>
          <w:szCs w:val="24"/>
        </w:rPr>
        <w:t xml:space="preserve"> Z. (1999).</w:t>
      </w:r>
      <w:r w:rsidRPr="00315C5D">
        <w:rPr>
          <w:rFonts w:eastAsia="Calibri" w:cs="Calibri"/>
          <w:szCs w:val="24"/>
        </w:rPr>
        <w:t xml:space="preserve"> </w:t>
      </w:r>
      <w:r w:rsidRPr="00315C5D">
        <w:rPr>
          <w:rFonts w:eastAsia="Calibri" w:cs="Calibri"/>
          <w:i/>
          <w:szCs w:val="24"/>
        </w:rPr>
        <w:t xml:space="preserve">Integracja europejska. </w:t>
      </w:r>
      <w:r w:rsidRPr="009F45C4">
        <w:rPr>
          <w:rFonts w:eastAsia="Calibri" w:cs="Calibri"/>
          <w:i/>
          <w:szCs w:val="24"/>
        </w:rPr>
        <w:t>Rozwój rynków</w:t>
      </w:r>
      <w:r w:rsidR="00373342" w:rsidRPr="009F45C4">
        <w:rPr>
          <w:rFonts w:eastAsia="Calibri" w:cs="Calibri"/>
          <w:szCs w:val="24"/>
        </w:rPr>
        <w:t>.</w:t>
      </w:r>
      <w:r w:rsidRPr="009F45C4">
        <w:rPr>
          <w:rFonts w:eastAsia="Calibri" w:cs="Calibri"/>
          <w:szCs w:val="24"/>
        </w:rPr>
        <w:t xml:space="preserve"> </w:t>
      </w:r>
      <w:r w:rsidRPr="009F45C4">
        <w:rPr>
          <w:szCs w:val="24"/>
        </w:rPr>
        <w:t>Warszawa-Łódź: Wydawnictwo Naukowe PWN.</w:t>
      </w:r>
    </w:p>
    <w:p w:rsidR="00E404EB" w:rsidRDefault="00E6136D" w:rsidP="00222307">
      <w:pPr>
        <w:spacing w:after="120" w:line="240" w:lineRule="auto"/>
        <w:ind w:left="567" w:hanging="567"/>
        <w:jc w:val="both"/>
        <w:rPr>
          <w:szCs w:val="24"/>
        </w:rPr>
      </w:pPr>
      <w:r w:rsidRPr="00E6136D">
        <w:rPr>
          <w:szCs w:val="24"/>
          <w:lang w:val="en-US"/>
        </w:rPr>
        <w:t xml:space="preserve">Tinbergen, J. (1962). </w:t>
      </w:r>
      <w:r w:rsidRPr="00E6136D">
        <w:rPr>
          <w:i/>
          <w:szCs w:val="24"/>
          <w:lang w:val="en-US"/>
        </w:rPr>
        <w:t>Shaping the World Economy; Suggestions for an International Economic Policy</w:t>
      </w:r>
      <w:r w:rsidRPr="00E6136D">
        <w:rPr>
          <w:szCs w:val="24"/>
          <w:lang w:val="en-US"/>
        </w:rPr>
        <w:t xml:space="preserve">. </w:t>
      </w:r>
      <w:r>
        <w:rPr>
          <w:szCs w:val="24"/>
          <w:lang w:val="en-US"/>
        </w:rPr>
        <w:t xml:space="preserve">Twentieth Century Fund, New </w:t>
      </w:r>
      <w:r w:rsidRPr="00CC142E">
        <w:rPr>
          <w:szCs w:val="24"/>
        </w:rPr>
        <w:t>York. Pozyskano ze strony http://hdl.handle.net/1765/16826 (dostęp: listopad 2016)</w:t>
      </w:r>
      <w:r w:rsidR="00CC142E" w:rsidRPr="00CC142E">
        <w:rPr>
          <w:szCs w:val="24"/>
        </w:rPr>
        <w:t>.</w:t>
      </w:r>
    </w:p>
    <w:p w:rsidR="00E21D83" w:rsidRDefault="00E21D83" w:rsidP="00222307">
      <w:pPr>
        <w:spacing w:after="120" w:line="240" w:lineRule="auto"/>
        <w:ind w:left="567" w:hanging="567"/>
        <w:jc w:val="both"/>
        <w:rPr>
          <w:szCs w:val="24"/>
        </w:rPr>
      </w:pPr>
    </w:p>
    <w:p w:rsidR="00E21D83" w:rsidRDefault="00E21D83" w:rsidP="00222307">
      <w:pPr>
        <w:spacing w:after="120" w:line="240" w:lineRule="auto"/>
        <w:ind w:left="567" w:hanging="567"/>
        <w:jc w:val="both"/>
        <w:rPr>
          <w:szCs w:val="24"/>
        </w:rPr>
      </w:pPr>
    </w:p>
    <w:p w:rsidR="00E21D83" w:rsidRPr="00CC142E" w:rsidRDefault="00E21D83" w:rsidP="00222307">
      <w:pPr>
        <w:spacing w:after="120" w:line="240" w:lineRule="auto"/>
        <w:ind w:left="567" w:hanging="567"/>
        <w:jc w:val="both"/>
        <w:rPr>
          <w:szCs w:val="24"/>
        </w:rPr>
      </w:pPr>
    </w:p>
    <w:sectPr w:rsidR="00E21D83" w:rsidRPr="00CC142E" w:rsidSect="00F81AA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1B5" w:rsidRDefault="005321B5" w:rsidP="005D3BCD">
      <w:pPr>
        <w:spacing w:line="240" w:lineRule="auto"/>
      </w:pPr>
      <w:r>
        <w:separator/>
      </w:r>
    </w:p>
  </w:endnote>
  <w:endnote w:type="continuationSeparator" w:id="0">
    <w:p w:rsidR="005321B5" w:rsidRDefault="005321B5" w:rsidP="005D3B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1B5" w:rsidRDefault="005321B5" w:rsidP="005D3BCD">
      <w:pPr>
        <w:spacing w:line="240" w:lineRule="auto"/>
      </w:pPr>
      <w:r>
        <w:separator/>
      </w:r>
    </w:p>
  </w:footnote>
  <w:footnote w:type="continuationSeparator" w:id="0">
    <w:p w:rsidR="005321B5" w:rsidRDefault="005321B5" w:rsidP="005D3BCD">
      <w:pPr>
        <w:spacing w:line="240" w:lineRule="auto"/>
      </w:pPr>
      <w:r>
        <w:continuationSeparator/>
      </w:r>
    </w:p>
  </w:footnote>
  <w:footnote w:id="1">
    <w:p w:rsidR="00943604" w:rsidRPr="002D1E41" w:rsidRDefault="00943604" w:rsidP="00943604">
      <w:pPr>
        <w:pStyle w:val="Tekstprzypisudolnego"/>
        <w:ind w:left="284" w:firstLine="0"/>
      </w:pPr>
      <w:r w:rsidRPr="002D1E41">
        <w:rPr>
          <w:rStyle w:val="Odwoanieprzypisudolnego"/>
        </w:rPr>
        <w:footnoteRef/>
      </w:r>
      <w:r w:rsidRPr="002D1E41">
        <w:t xml:space="preserve"> </w:t>
      </w:r>
      <w:r>
        <w:t>Artykuł powstał w ramach projektu badawczego nr 060/</w:t>
      </w:r>
      <w:proofErr w:type="spellStart"/>
      <w:r>
        <w:t>WE-KHZ</w:t>
      </w:r>
      <w:proofErr w:type="spellEnd"/>
      <w:r>
        <w:t>/01/2016/S/6060 pt. "Wymiana handlowa a procesy dezintegracji Unii Europejskiej" sfinansowanego ze środków przyznanych Wydziałowi Ekonomii i Stosunków</w:t>
      </w:r>
      <w:r>
        <w:br/>
        <w:t>Międzynarodowych Uniwersytetu Ekonomicznego w Krakowie w ramach dotacji na utrzymanie potencjału badawczego.</w:t>
      </w:r>
    </w:p>
  </w:footnote>
  <w:footnote w:id="2">
    <w:p w:rsidR="00093FEE" w:rsidRPr="00105858" w:rsidRDefault="00093FEE" w:rsidP="00C45B31">
      <w:pPr>
        <w:pStyle w:val="Tekstprzypisudolnego"/>
        <w:ind w:left="284" w:firstLine="0"/>
        <w:rPr>
          <w:szCs w:val="18"/>
        </w:rPr>
      </w:pPr>
      <w:r w:rsidRPr="00105858">
        <w:rPr>
          <w:rStyle w:val="Odwoanieprzypisudolnego"/>
          <w:szCs w:val="18"/>
        </w:rPr>
        <w:footnoteRef/>
      </w:r>
      <w:r w:rsidRPr="00105858">
        <w:rPr>
          <w:szCs w:val="18"/>
        </w:rPr>
        <w:t xml:space="preserve"> </w:t>
      </w:r>
      <w:r w:rsidRPr="00105858">
        <w:rPr>
          <w:rFonts w:cs="Calibri"/>
          <w:szCs w:val="18"/>
        </w:rPr>
        <w:t>Klucz podziału wyrobów z uwagi na intensywność wykorzystania czynników wytwórczych opiera się na sekcjach, działach i grupach to</w:t>
      </w:r>
      <w:r>
        <w:rPr>
          <w:rFonts w:cs="Calibri"/>
          <w:szCs w:val="18"/>
        </w:rPr>
        <w:t xml:space="preserve">warowych klasyfikacji SITC </w:t>
      </w:r>
      <w:r>
        <w:rPr>
          <w:szCs w:val="18"/>
        </w:rPr>
        <w:t xml:space="preserve">(Wysokińska &amp; Witkowska, 1999, s. 307; Wysokińska, 2001, s. 131; </w:t>
      </w:r>
      <w:r w:rsidRPr="00105858">
        <w:rPr>
          <w:rFonts w:cs="Calibri"/>
          <w:szCs w:val="18"/>
        </w:rPr>
        <w:t>Pluciński</w:t>
      </w:r>
      <w:r>
        <w:rPr>
          <w:rFonts w:cs="Calibri"/>
          <w:szCs w:val="18"/>
        </w:rPr>
        <w:t>,</w:t>
      </w:r>
      <w:r w:rsidRPr="00105858">
        <w:rPr>
          <w:rFonts w:cs="Calibri"/>
          <w:szCs w:val="18"/>
        </w:rPr>
        <w:t xml:space="preserve"> </w:t>
      </w:r>
      <w:r>
        <w:rPr>
          <w:rFonts w:cs="Calibri"/>
          <w:szCs w:val="18"/>
        </w:rPr>
        <w:t>2005, s. 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68EC"/>
    <w:multiLevelType w:val="hybridMultilevel"/>
    <w:tmpl w:val="011A7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D067390"/>
    <w:multiLevelType w:val="hybridMultilevel"/>
    <w:tmpl w:val="612C2A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303A5769"/>
    <w:multiLevelType w:val="hybridMultilevel"/>
    <w:tmpl w:val="248A1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5DF7073"/>
    <w:multiLevelType w:val="hybridMultilevel"/>
    <w:tmpl w:val="9594E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B4E1726"/>
    <w:multiLevelType w:val="hybridMultilevel"/>
    <w:tmpl w:val="805A7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EDB3799"/>
    <w:multiLevelType w:val="hybridMultilevel"/>
    <w:tmpl w:val="2FDC8D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D05B5A"/>
    <w:rsid w:val="000351DD"/>
    <w:rsid w:val="00042032"/>
    <w:rsid w:val="00044F99"/>
    <w:rsid w:val="00047D45"/>
    <w:rsid w:val="00093FEE"/>
    <w:rsid w:val="00095C5E"/>
    <w:rsid w:val="000A06EF"/>
    <w:rsid w:val="000A0E1C"/>
    <w:rsid w:val="000A6D3C"/>
    <w:rsid w:val="000E07B9"/>
    <w:rsid w:val="000F1001"/>
    <w:rsid w:val="00100F61"/>
    <w:rsid w:val="00126687"/>
    <w:rsid w:val="00144060"/>
    <w:rsid w:val="0015608F"/>
    <w:rsid w:val="00170FCA"/>
    <w:rsid w:val="0017170B"/>
    <w:rsid w:val="00171B71"/>
    <w:rsid w:val="00176F47"/>
    <w:rsid w:val="00185FFB"/>
    <w:rsid w:val="001973B5"/>
    <w:rsid w:val="001A7B99"/>
    <w:rsid w:val="001B0CF1"/>
    <w:rsid w:val="001D7C36"/>
    <w:rsid w:val="001F5042"/>
    <w:rsid w:val="002061E4"/>
    <w:rsid w:val="00213CDD"/>
    <w:rsid w:val="00222307"/>
    <w:rsid w:val="00242481"/>
    <w:rsid w:val="00263EEB"/>
    <w:rsid w:val="0026454C"/>
    <w:rsid w:val="00274617"/>
    <w:rsid w:val="00291F84"/>
    <w:rsid w:val="002972B7"/>
    <w:rsid w:val="002B035B"/>
    <w:rsid w:val="002B38C9"/>
    <w:rsid w:val="002D579E"/>
    <w:rsid w:val="002E7205"/>
    <w:rsid w:val="00312D5F"/>
    <w:rsid w:val="00315C5D"/>
    <w:rsid w:val="00350752"/>
    <w:rsid w:val="00371EBE"/>
    <w:rsid w:val="00373342"/>
    <w:rsid w:val="00375A52"/>
    <w:rsid w:val="00376787"/>
    <w:rsid w:val="0038148D"/>
    <w:rsid w:val="003C328F"/>
    <w:rsid w:val="003C6261"/>
    <w:rsid w:val="003D39E2"/>
    <w:rsid w:val="003E0DB5"/>
    <w:rsid w:val="003F4EC4"/>
    <w:rsid w:val="004561DD"/>
    <w:rsid w:val="00482E22"/>
    <w:rsid w:val="004861B7"/>
    <w:rsid w:val="004C165E"/>
    <w:rsid w:val="00502FA5"/>
    <w:rsid w:val="00506E44"/>
    <w:rsid w:val="00516A0C"/>
    <w:rsid w:val="005321B5"/>
    <w:rsid w:val="0059231D"/>
    <w:rsid w:val="00596A06"/>
    <w:rsid w:val="005A0451"/>
    <w:rsid w:val="005A4F9A"/>
    <w:rsid w:val="005A5997"/>
    <w:rsid w:val="005B2E43"/>
    <w:rsid w:val="005D3BCD"/>
    <w:rsid w:val="005F6E39"/>
    <w:rsid w:val="005F6FCE"/>
    <w:rsid w:val="00600D5E"/>
    <w:rsid w:val="0060146D"/>
    <w:rsid w:val="0062737F"/>
    <w:rsid w:val="00644F62"/>
    <w:rsid w:val="0066738B"/>
    <w:rsid w:val="00673808"/>
    <w:rsid w:val="00676C61"/>
    <w:rsid w:val="00681222"/>
    <w:rsid w:val="006B3879"/>
    <w:rsid w:val="006F5E13"/>
    <w:rsid w:val="00714B14"/>
    <w:rsid w:val="00714F0E"/>
    <w:rsid w:val="007152EE"/>
    <w:rsid w:val="0071604D"/>
    <w:rsid w:val="00725E4B"/>
    <w:rsid w:val="0077256C"/>
    <w:rsid w:val="00775BD6"/>
    <w:rsid w:val="00780C06"/>
    <w:rsid w:val="00782822"/>
    <w:rsid w:val="007E17DE"/>
    <w:rsid w:val="007E22B6"/>
    <w:rsid w:val="007F13DA"/>
    <w:rsid w:val="007F5E8B"/>
    <w:rsid w:val="008050E5"/>
    <w:rsid w:val="00814B5A"/>
    <w:rsid w:val="008355A0"/>
    <w:rsid w:val="00840715"/>
    <w:rsid w:val="00842192"/>
    <w:rsid w:val="0084489C"/>
    <w:rsid w:val="008817C8"/>
    <w:rsid w:val="00895CC7"/>
    <w:rsid w:val="00896716"/>
    <w:rsid w:val="008A4B7E"/>
    <w:rsid w:val="008B3204"/>
    <w:rsid w:val="008C2337"/>
    <w:rsid w:val="008D6BF0"/>
    <w:rsid w:val="008D75D4"/>
    <w:rsid w:val="008F021D"/>
    <w:rsid w:val="00900D59"/>
    <w:rsid w:val="00906888"/>
    <w:rsid w:val="00910413"/>
    <w:rsid w:val="009117D3"/>
    <w:rsid w:val="00943604"/>
    <w:rsid w:val="00947DA5"/>
    <w:rsid w:val="00950E53"/>
    <w:rsid w:val="00967B5F"/>
    <w:rsid w:val="009864F3"/>
    <w:rsid w:val="009F45C4"/>
    <w:rsid w:val="00A122EB"/>
    <w:rsid w:val="00A128E4"/>
    <w:rsid w:val="00A139A3"/>
    <w:rsid w:val="00A21907"/>
    <w:rsid w:val="00A51407"/>
    <w:rsid w:val="00A5453F"/>
    <w:rsid w:val="00A56744"/>
    <w:rsid w:val="00A65CFC"/>
    <w:rsid w:val="00A8488C"/>
    <w:rsid w:val="00A8666B"/>
    <w:rsid w:val="00AD0C35"/>
    <w:rsid w:val="00AD0CB4"/>
    <w:rsid w:val="00AD641B"/>
    <w:rsid w:val="00B20A7B"/>
    <w:rsid w:val="00B2313E"/>
    <w:rsid w:val="00B35F7E"/>
    <w:rsid w:val="00B511F1"/>
    <w:rsid w:val="00B530C0"/>
    <w:rsid w:val="00B807F7"/>
    <w:rsid w:val="00B96765"/>
    <w:rsid w:val="00B96CFE"/>
    <w:rsid w:val="00BA2413"/>
    <w:rsid w:val="00BC1D8C"/>
    <w:rsid w:val="00BC6EA1"/>
    <w:rsid w:val="00BE0945"/>
    <w:rsid w:val="00BE5B25"/>
    <w:rsid w:val="00BF2EB3"/>
    <w:rsid w:val="00C00F26"/>
    <w:rsid w:val="00C25767"/>
    <w:rsid w:val="00C34D44"/>
    <w:rsid w:val="00C45B31"/>
    <w:rsid w:val="00C54930"/>
    <w:rsid w:val="00C62277"/>
    <w:rsid w:val="00C81C11"/>
    <w:rsid w:val="00C81FE9"/>
    <w:rsid w:val="00C850F8"/>
    <w:rsid w:val="00C90453"/>
    <w:rsid w:val="00C92797"/>
    <w:rsid w:val="00CB05CF"/>
    <w:rsid w:val="00CB0B60"/>
    <w:rsid w:val="00CC142E"/>
    <w:rsid w:val="00CD285A"/>
    <w:rsid w:val="00CE545F"/>
    <w:rsid w:val="00CE55C2"/>
    <w:rsid w:val="00D05B5A"/>
    <w:rsid w:val="00D27210"/>
    <w:rsid w:val="00D522E4"/>
    <w:rsid w:val="00D609B6"/>
    <w:rsid w:val="00D6215A"/>
    <w:rsid w:val="00D66CB5"/>
    <w:rsid w:val="00D70072"/>
    <w:rsid w:val="00D77B50"/>
    <w:rsid w:val="00D962F1"/>
    <w:rsid w:val="00DD0790"/>
    <w:rsid w:val="00DD55A0"/>
    <w:rsid w:val="00DE0479"/>
    <w:rsid w:val="00DE41A6"/>
    <w:rsid w:val="00E031C9"/>
    <w:rsid w:val="00E041CA"/>
    <w:rsid w:val="00E05924"/>
    <w:rsid w:val="00E138E7"/>
    <w:rsid w:val="00E21D83"/>
    <w:rsid w:val="00E27278"/>
    <w:rsid w:val="00E277EF"/>
    <w:rsid w:val="00E404EB"/>
    <w:rsid w:val="00E44DD0"/>
    <w:rsid w:val="00E52203"/>
    <w:rsid w:val="00E52604"/>
    <w:rsid w:val="00E6136D"/>
    <w:rsid w:val="00E61C60"/>
    <w:rsid w:val="00E627DD"/>
    <w:rsid w:val="00E946BA"/>
    <w:rsid w:val="00EA02B4"/>
    <w:rsid w:val="00EB48D1"/>
    <w:rsid w:val="00ED48D7"/>
    <w:rsid w:val="00EE37D5"/>
    <w:rsid w:val="00EF1B74"/>
    <w:rsid w:val="00F012CC"/>
    <w:rsid w:val="00F11E8F"/>
    <w:rsid w:val="00F15A93"/>
    <w:rsid w:val="00F3154F"/>
    <w:rsid w:val="00F51184"/>
    <w:rsid w:val="00F54E74"/>
    <w:rsid w:val="00F5746C"/>
    <w:rsid w:val="00F80D2F"/>
    <w:rsid w:val="00F81AAF"/>
    <w:rsid w:val="00F9357B"/>
    <w:rsid w:val="00FA15FD"/>
    <w:rsid w:val="00FB327C"/>
    <w:rsid w:val="00FD59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1AAF"/>
  </w:style>
  <w:style w:type="paragraph" w:styleId="Nagwek1">
    <w:name w:val="heading 1"/>
    <w:basedOn w:val="Normalny"/>
    <w:next w:val="Normalny"/>
    <w:link w:val="Nagwek1Znak"/>
    <w:uiPriority w:val="9"/>
    <w:qFormat/>
    <w:rsid w:val="00600D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840715"/>
    <w:pPr>
      <w:spacing w:before="100" w:beforeAutospacing="1" w:after="100" w:afterAutospacing="1" w:line="240" w:lineRule="auto"/>
      <w:outlineLvl w:val="1"/>
    </w:pPr>
    <w:rPr>
      <w:rFonts w:eastAsia="Times New Roman" w:cs="Times New Roman"/>
      <w:b/>
      <w:bCs/>
      <w:sz w:val="36"/>
      <w:szCs w:val="36"/>
      <w:lang w:eastAsia="pl-PL"/>
    </w:rPr>
  </w:style>
  <w:style w:type="paragraph" w:styleId="Nagwek3">
    <w:name w:val="heading 3"/>
    <w:basedOn w:val="Normalny"/>
    <w:next w:val="Normalny"/>
    <w:link w:val="Nagwek3Znak"/>
    <w:uiPriority w:val="9"/>
    <w:unhideWhenUsed/>
    <w:qFormat/>
    <w:rsid w:val="00D77B50"/>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single space,footnote text,FOOTNOTES,fn,Podrozdział,Fußnote,Footnote,Podrozdzia3,przypis,Tekst przypisu dolnego Znak Znak,Tekst przypisu dolnego Znak Znak Znak Znak,Podrozdział Znak Znak"/>
    <w:basedOn w:val="Normalny"/>
    <w:link w:val="TekstprzypisudolnegoZnak"/>
    <w:uiPriority w:val="99"/>
    <w:unhideWhenUsed/>
    <w:qFormat/>
    <w:rsid w:val="005D3BCD"/>
    <w:pPr>
      <w:spacing w:line="240" w:lineRule="auto"/>
      <w:ind w:firstLine="340"/>
      <w:jc w:val="both"/>
    </w:pPr>
    <w:rPr>
      <w:rFonts w:eastAsia="Calibri" w:cs="Times New Roman"/>
      <w:sz w:val="18"/>
      <w:szCs w:val="20"/>
    </w:rPr>
  </w:style>
  <w:style w:type="character" w:customStyle="1" w:styleId="TekstprzypisudolnegoZnak">
    <w:name w:val="Tekst przypisu dolnego Znak"/>
    <w:aliases w:val="Tekst przypisu Znak,single space Znak,footnote text Znak,FOOTNOTES Znak,fn Znak,Podrozdział Znak,Fußnote Znak,Footnote Znak,Podrozdzia3 Znak,przypis Znak,Tekst przypisu dolnego Znak Znak Znak,Podrozdział Znak Znak Znak"/>
    <w:basedOn w:val="Domylnaczcionkaakapitu"/>
    <w:link w:val="Tekstprzypisudolnego"/>
    <w:uiPriority w:val="99"/>
    <w:rsid w:val="005D3BCD"/>
    <w:rPr>
      <w:rFonts w:eastAsia="Calibri" w:cs="Times New Roman"/>
      <w:sz w:val="18"/>
      <w:szCs w:val="20"/>
    </w:rPr>
  </w:style>
  <w:style w:type="character" w:styleId="Odwoanieprzypisudolnego">
    <w:name w:val="footnote reference"/>
    <w:aliases w:val="Odwołanie przypisu"/>
    <w:basedOn w:val="Domylnaczcionkaakapitu"/>
    <w:uiPriority w:val="99"/>
    <w:semiHidden/>
    <w:rsid w:val="005D3BCD"/>
    <w:rPr>
      <w:vertAlign w:val="superscript"/>
    </w:rPr>
  </w:style>
  <w:style w:type="character" w:customStyle="1" w:styleId="apple-converted-space">
    <w:name w:val="apple-converted-space"/>
    <w:basedOn w:val="Domylnaczcionkaakapitu"/>
    <w:rsid w:val="00E404EB"/>
  </w:style>
  <w:style w:type="character" w:styleId="Hipercze">
    <w:name w:val="Hyperlink"/>
    <w:basedOn w:val="Domylnaczcionkaakapitu"/>
    <w:uiPriority w:val="99"/>
    <w:unhideWhenUsed/>
    <w:rsid w:val="00E6136D"/>
    <w:rPr>
      <w:color w:val="0000FF" w:themeColor="hyperlink"/>
      <w:u w:val="single"/>
    </w:rPr>
  </w:style>
  <w:style w:type="character" w:styleId="Tekstzastpczy">
    <w:name w:val="Placeholder Text"/>
    <w:basedOn w:val="Domylnaczcionkaakapitu"/>
    <w:uiPriority w:val="99"/>
    <w:semiHidden/>
    <w:rsid w:val="00B96765"/>
    <w:rPr>
      <w:color w:val="808080"/>
    </w:rPr>
  </w:style>
  <w:style w:type="paragraph" w:styleId="Tekstdymka">
    <w:name w:val="Balloon Text"/>
    <w:basedOn w:val="Normalny"/>
    <w:link w:val="TekstdymkaZnak"/>
    <w:uiPriority w:val="99"/>
    <w:semiHidden/>
    <w:unhideWhenUsed/>
    <w:rsid w:val="00B9676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6765"/>
    <w:rPr>
      <w:rFonts w:ascii="Tahoma" w:hAnsi="Tahoma" w:cs="Tahoma"/>
      <w:sz w:val="16"/>
      <w:szCs w:val="16"/>
    </w:rPr>
  </w:style>
  <w:style w:type="paragraph" w:styleId="Akapitzlist">
    <w:name w:val="List Paragraph"/>
    <w:basedOn w:val="Normalny"/>
    <w:uiPriority w:val="34"/>
    <w:qFormat/>
    <w:rsid w:val="00A8488C"/>
    <w:pPr>
      <w:ind w:left="720"/>
      <w:contextualSpacing/>
    </w:pPr>
  </w:style>
  <w:style w:type="character" w:customStyle="1" w:styleId="Nagwek2Znak">
    <w:name w:val="Nagłówek 2 Znak"/>
    <w:basedOn w:val="Domylnaczcionkaakapitu"/>
    <w:link w:val="Nagwek2"/>
    <w:uiPriority w:val="9"/>
    <w:rsid w:val="00840715"/>
    <w:rPr>
      <w:rFonts w:eastAsia="Times New Roman" w:cs="Times New Roman"/>
      <w:b/>
      <w:bCs/>
      <w:sz w:val="36"/>
      <w:szCs w:val="36"/>
      <w:lang w:eastAsia="pl-PL"/>
    </w:rPr>
  </w:style>
  <w:style w:type="character" w:customStyle="1" w:styleId="Nagwek1Znak">
    <w:name w:val="Nagłówek 1 Znak"/>
    <w:basedOn w:val="Domylnaczcionkaakapitu"/>
    <w:link w:val="Nagwek1"/>
    <w:uiPriority w:val="9"/>
    <w:rsid w:val="00600D5E"/>
    <w:rPr>
      <w:rFonts w:asciiTheme="majorHAnsi" w:eastAsiaTheme="majorEastAsia" w:hAnsiTheme="majorHAnsi" w:cstheme="majorBidi"/>
      <w:b/>
      <w:bCs/>
      <w:color w:val="365F91" w:themeColor="accent1" w:themeShade="BF"/>
      <w:sz w:val="28"/>
      <w:szCs w:val="28"/>
    </w:rPr>
  </w:style>
  <w:style w:type="character" w:customStyle="1" w:styleId="publication-meta-journal">
    <w:name w:val="publication-meta-journal"/>
    <w:basedOn w:val="Domylnaczcionkaakapitu"/>
    <w:rsid w:val="002E7205"/>
  </w:style>
  <w:style w:type="character" w:customStyle="1" w:styleId="Nagwek3Znak">
    <w:name w:val="Nagłówek 3 Znak"/>
    <w:basedOn w:val="Domylnaczcionkaakapitu"/>
    <w:link w:val="Nagwek3"/>
    <w:uiPriority w:val="9"/>
    <w:rsid w:val="00D77B50"/>
    <w:rPr>
      <w:rFonts w:asciiTheme="majorHAnsi" w:eastAsiaTheme="majorEastAsia" w:hAnsiTheme="majorHAnsi" w:cstheme="majorBidi"/>
      <w:b/>
      <w:bCs/>
      <w:color w:val="4F81BD" w:themeColor="accent1"/>
    </w:rPr>
  </w:style>
  <w:style w:type="paragraph" w:styleId="Legenda">
    <w:name w:val="caption"/>
    <w:aliases w:val="Legenda (UE)"/>
    <w:basedOn w:val="Normalny"/>
    <w:next w:val="Normalny"/>
    <w:uiPriority w:val="35"/>
    <w:qFormat/>
    <w:rsid w:val="008B3204"/>
    <w:pPr>
      <w:spacing w:before="240" w:after="120" w:line="240" w:lineRule="auto"/>
    </w:pPr>
    <w:rPr>
      <w:rFonts w:eastAsia="Calibri" w:cs="Times New Roman"/>
      <w:sz w:val="18"/>
      <w:szCs w:val="18"/>
    </w:rPr>
  </w:style>
  <w:style w:type="paragraph" w:styleId="Tekstprzypisukocowego">
    <w:name w:val="endnote text"/>
    <w:basedOn w:val="Normalny"/>
    <w:link w:val="TekstprzypisukocowegoZnak"/>
    <w:uiPriority w:val="99"/>
    <w:semiHidden/>
    <w:unhideWhenUsed/>
    <w:rsid w:val="00E138E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38E7"/>
    <w:rPr>
      <w:sz w:val="20"/>
      <w:szCs w:val="20"/>
    </w:rPr>
  </w:style>
  <w:style w:type="character" w:styleId="Odwoanieprzypisukocowego">
    <w:name w:val="endnote reference"/>
    <w:basedOn w:val="Domylnaczcionkaakapitu"/>
    <w:uiPriority w:val="99"/>
    <w:semiHidden/>
    <w:unhideWhenUsed/>
    <w:rsid w:val="00E138E7"/>
    <w:rPr>
      <w:vertAlign w:val="superscript"/>
    </w:rPr>
  </w:style>
  <w:style w:type="character" w:customStyle="1" w:styleId="shorttext">
    <w:name w:val="short_text"/>
    <w:basedOn w:val="Domylnaczcionkaakapitu"/>
    <w:rsid w:val="00EB48D1"/>
  </w:style>
</w:styles>
</file>

<file path=word/webSettings.xml><?xml version="1.0" encoding="utf-8"?>
<w:webSettings xmlns:r="http://schemas.openxmlformats.org/officeDocument/2006/relationships" xmlns:w="http://schemas.openxmlformats.org/wordprocessingml/2006/main">
  <w:divs>
    <w:div w:id="8873687">
      <w:bodyDiv w:val="1"/>
      <w:marLeft w:val="0"/>
      <w:marRight w:val="0"/>
      <w:marTop w:val="0"/>
      <w:marBottom w:val="0"/>
      <w:divBdr>
        <w:top w:val="none" w:sz="0" w:space="0" w:color="auto"/>
        <w:left w:val="none" w:sz="0" w:space="0" w:color="auto"/>
        <w:bottom w:val="none" w:sz="0" w:space="0" w:color="auto"/>
        <w:right w:val="none" w:sz="0" w:space="0" w:color="auto"/>
      </w:divBdr>
    </w:div>
    <w:div w:id="204758291">
      <w:bodyDiv w:val="1"/>
      <w:marLeft w:val="0"/>
      <w:marRight w:val="0"/>
      <w:marTop w:val="0"/>
      <w:marBottom w:val="0"/>
      <w:divBdr>
        <w:top w:val="none" w:sz="0" w:space="0" w:color="auto"/>
        <w:left w:val="none" w:sz="0" w:space="0" w:color="auto"/>
        <w:bottom w:val="none" w:sz="0" w:space="0" w:color="auto"/>
        <w:right w:val="none" w:sz="0" w:space="0" w:color="auto"/>
      </w:divBdr>
    </w:div>
    <w:div w:id="216210400">
      <w:bodyDiv w:val="1"/>
      <w:marLeft w:val="0"/>
      <w:marRight w:val="0"/>
      <w:marTop w:val="0"/>
      <w:marBottom w:val="0"/>
      <w:divBdr>
        <w:top w:val="none" w:sz="0" w:space="0" w:color="auto"/>
        <w:left w:val="none" w:sz="0" w:space="0" w:color="auto"/>
        <w:bottom w:val="none" w:sz="0" w:space="0" w:color="auto"/>
        <w:right w:val="none" w:sz="0" w:space="0" w:color="auto"/>
      </w:divBdr>
    </w:div>
    <w:div w:id="270089365">
      <w:bodyDiv w:val="1"/>
      <w:marLeft w:val="0"/>
      <w:marRight w:val="0"/>
      <w:marTop w:val="0"/>
      <w:marBottom w:val="0"/>
      <w:divBdr>
        <w:top w:val="none" w:sz="0" w:space="0" w:color="auto"/>
        <w:left w:val="none" w:sz="0" w:space="0" w:color="auto"/>
        <w:bottom w:val="none" w:sz="0" w:space="0" w:color="auto"/>
        <w:right w:val="none" w:sz="0" w:space="0" w:color="auto"/>
      </w:divBdr>
    </w:div>
    <w:div w:id="532956927">
      <w:bodyDiv w:val="1"/>
      <w:marLeft w:val="0"/>
      <w:marRight w:val="0"/>
      <w:marTop w:val="0"/>
      <w:marBottom w:val="0"/>
      <w:divBdr>
        <w:top w:val="none" w:sz="0" w:space="0" w:color="auto"/>
        <w:left w:val="none" w:sz="0" w:space="0" w:color="auto"/>
        <w:bottom w:val="none" w:sz="0" w:space="0" w:color="auto"/>
        <w:right w:val="none" w:sz="0" w:space="0" w:color="auto"/>
      </w:divBdr>
    </w:div>
    <w:div w:id="951518542">
      <w:bodyDiv w:val="1"/>
      <w:marLeft w:val="0"/>
      <w:marRight w:val="0"/>
      <w:marTop w:val="0"/>
      <w:marBottom w:val="0"/>
      <w:divBdr>
        <w:top w:val="none" w:sz="0" w:space="0" w:color="auto"/>
        <w:left w:val="none" w:sz="0" w:space="0" w:color="auto"/>
        <w:bottom w:val="none" w:sz="0" w:space="0" w:color="auto"/>
        <w:right w:val="none" w:sz="0" w:space="0" w:color="auto"/>
      </w:divBdr>
      <w:divsChild>
        <w:div w:id="562834687">
          <w:marLeft w:val="0"/>
          <w:marRight w:val="0"/>
          <w:marTop w:val="0"/>
          <w:marBottom w:val="0"/>
          <w:divBdr>
            <w:top w:val="none" w:sz="0" w:space="0" w:color="auto"/>
            <w:left w:val="none" w:sz="0" w:space="0" w:color="auto"/>
            <w:bottom w:val="none" w:sz="0" w:space="0" w:color="auto"/>
            <w:right w:val="none" w:sz="0" w:space="0" w:color="auto"/>
          </w:divBdr>
        </w:div>
      </w:divsChild>
    </w:div>
    <w:div w:id="1365137571">
      <w:bodyDiv w:val="1"/>
      <w:marLeft w:val="0"/>
      <w:marRight w:val="0"/>
      <w:marTop w:val="0"/>
      <w:marBottom w:val="0"/>
      <w:divBdr>
        <w:top w:val="none" w:sz="0" w:space="0" w:color="auto"/>
        <w:left w:val="none" w:sz="0" w:space="0" w:color="auto"/>
        <w:bottom w:val="none" w:sz="0" w:space="0" w:color="auto"/>
        <w:right w:val="none" w:sz="0" w:space="0" w:color="auto"/>
      </w:divBdr>
    </w:div>
    <w:div w:id="1369261415">
      <w:bodyDiv w:val="1"/>
      <w:marLeft w:val="0"/>
      <w:marRight w:val="0"/>
      <w:marTop w:val="0"/>
      <w:marBottom w:val="0"/>
      <w:divBdr>
        <w:top w:val="none" w:sz="0" w:space="0" w:color="auto"/>
        <w:left w:val="none" w:sz="0" w:space="0" w:color="auto"/>
        <w:bottom w:val="none" w:sz="0" w:space="0" w:color="auto"/>
        <w:right w:val="none" w:sz="0" w:space="0" w:color="auto"/>
      </w:divBdr>
    </w:div>
    <w:div w:id="1630357496">
      <w:bodyDiv w:val="1"/>
      <w:marLeft w:val="0"/>
      <w:marRight w:val="0"/>
      <w:marTop w:val="0"/>
      <w:marBottom w:val="0"/>
      <w:divBdr>
        <w:top w:val="none" w:sz="0" w:space="0" w:color="auto"/>
        <w:left w:val="none" w:sz="0" w:space="0" w:color="auto"/>
        <w:bottom w:val="none" w:sz="0" w:space="0" w:color="auto"/>
        <w:right w:val="none" w:sz="0" w:space="0" w:color="auto"/>
      </w:divBdr>
    </w:div>
    <w:div w:id="1695957950">
      <w:bodyDiv w:val="1"/>
      <w:marLeft w:val="0"/>
      <w:marRight w:val="0"/>
      <w:marTop w:val="0"/>
      <w:marBottom w:val="0"/>
      <w:divBdr>
        <w:top w:val="none" w:sz="0" w:space="0" w:color="auto"/>
        <w:left w:val="none" w:sz="0" w:space="0" w:color="auto"/>
        <w:bottom w:val="none" w:sz="0" w:space="0" w:color="auto"/>
        <w:right w:val="none" w:sz="0" w:space="0" w:color="auto"/>
      </w:divBdr>
    </w:div>
    <w:div w:id="1760518398">
      <w:bodyDiv w:val="1"/>
      <w:marLeft w:val="0"/>
      <w:marRight w:val="0"/>
      <w:marTop w:val="0"/>
      <w:marBottom w:val="0"/>
      <w:divBdr>
        <w:top w:val="none" w:sz="0" w:space="0" w:color="auto"/>
        <w:left w:val="none" w:sz="0" w:space="0" w:color="auto"/>
        <w:bottom w:val="none" w:sz="0" w:space="0" w:color="auto"/>
        <w:right w:val="none" w:sz="0" w:space="0" w:color="auto"/>
      </w:divBdr>
    </w:div>
    <w:div w:id="20190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adda.icm.edu.pl/yadda/element/bwmeta1.element.ekon-element-issn-0459-958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cuments\Marek%20M\Uczelnia\Badania\00%20-%20SITC%20Unctad%201995-2015%20handel%20mi&#281;dzy%20pa&#324;stwami%20UE\000%20zbiorczy%20z%20UE%20-%20struktura%20do%20poszczeg&#243;lnych%20krajow%20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1"/>
  <c:chart>
    <c:plotArea>
      <c:layout/>
      <c:barChart>
        <c:barDir val="col"/>
        <c:grouping val="clustered"/>
        <c:ser>
          <c:idx val="0"/>
          <c:order val="0"/>
          <c:cat>
            <c:strRef>
              <c:f>WYNIK!$A$2:$A$29</c:f>
              <c:strCache>
                <c:ptCount val="28"/>
                <c:pt idx="0">
                  <c:v>Austria</c:v>
                </c:pt>
                <c:pt idx="1">
                  <c:v>Belgia</c:v>
                </c:pt>
                <c:pt idx="2">
                  <c:v>Bułgaria</c:v>
                </c:pt>
                <c:pt idx="3">
                  <c:v>Chorwacja</c:v>
                </c:pt>
                <c:pt idx="4">
                  <c:v>Cypr</c:v>
                </c:pt>
                <c:pt idx="5">
                  <c:v>Czechy</c:v>
                </c:pt>
                <c:pt idx="6">
                  <c:v>Dania</c:v>
                </c:pt>
                <c:pt idx="7">
                  <c:v>Estonia</c:v>
                </c:pt>
                <c:pt idx="8">
                  <c:v>Finlandia</c:v>
                </c:pt>
                <c:pt idx="9">
                  <c:v>Francja</c:v>
                </c:pt>
                <c:pt idx="10">
                  <c:v>Grecja</c:v>
                </c:pt>
                <c:pt idx="11">
                  <c:v>Hiszpania</c:v>
                </c:pt>
                <c:pt idx="12">
                  <c:v>Holandia</c:v>
                </c:pt>
                <c:pt idx="13">
                  <c:v>Irlandia</c:v>
                </c:pt>
                <c:pt idx="14">
                  <c:v>Litwa</c:v>
                </c:pt>
                <c:pt idx="15">
                  <c:v>Luksemburg</c:v>
                </c:pt>
                <c:pt idx="16">
                  <c:v>Łotwa</c:v>
                </c:pt>
                <c:pt idx="17">
                  <c:v>Malta</c:v>
                </c:pt>
                <c:pt idx="18">
                  <c:v>Niemcy</c:v>
                </c:pt>
                <c:pt idx="19">
                  <c:v>Polska</c:v>
                </c:pt>
                <c:pt idx="20">
                  <c:v>Portugalia</c:v>
                </c:pt>
                <c:pt idx="21">
                  <c:v>Rumunia</c:v>
                </c:pt>
                <c:pt idx="22">
                  <c:v>Słowacja</c:v>
                </c:pt>
                <c:pt idx="23">
                  <c:v>Słowenia</c:v>
                </c:pt>
                <c:pt idx="24">
                  <c:v>Szwecja</c:v>
                </c:pt>
                <c:pt idx="25">
                  <c:v>W.Brytania</c:v>
                </c:pt>
                <c:pt idx="26">
                  <c:v>Węgry</c:v>
                </c:pt>
                <c:pt idx="27">
                  <c:v>Włochy</c:v>
                </c:pt>
              </c:strCache>
            </c:strRef>
          </c:cat>
          <c:val>
            <c:numRef>
              <c:f>WYNIK!$V$2:$V$29</c:f>
              <c:numCache>
                <c:formatCode>General</c:formatCode>
                <c:ptCount val="28"/>
                <c:pt idx="0">
                  <c:v>0.23605517822692268</c:v>
                </c:pt>
                <c:pt idx="1">
                  <c:v>0.2181783546333079</c:v>
                </c:pt>
                <c:pt idx="2">
                  <c:v>0.39509270859760393</c:v>
                </c:pt>
                <c:pt idx="3">
                  <c:v>0.50146036014695206</c:v>
                </c:pt>
                <c:pt idx="4">
                  <c:v>0.65693144490073663</c:v>
                </c:pt>
                <c:pt idx="5">
                  <c:v>0.27450005901102825</c:v>
                </c:pt>
                <c:pt idx="6">
                  <c:v>0.25208352463791017</c:v>
                </c:pt>
                <c:pt idx="7">
                  <c:v>0.45317419608977422</c:v>
                </c:pt>
                <c:pt idx="8">
                  <c:v>0.42248180875735447</c:v>
                </c:pt>
                <c:pt idx="9">
                  <c:v>0.24517674358733996</c:v>
                </c:pt>
                <c:pt idx="10">
                  <c:v>0.33296968262210658</c:v>
                </c:pt>
                <c:pt idx="11">
                  <c:v>0.27145074267959157</c:v>
                </c:pt>
                <c:pt idx="12">
                  <c:v>0.19604716178013093</c:v>
                </c:pt>
                <c:pt idx="13">
                  <c:v>0.43448163973498294</c:v>
                </c:pt>
                <c:pt idx="14">
                  <c:v>0.35365184585296572</c:v>
                </c:pt>
                <c:pt idx="15">
                  <c:v>0.39695372079818358</c:v>
                </c:pt>
                <c:pt idx="16">
                  <c:v>0.43255129989875601</c:v>
                </c:pt>
                <c:pt idx="17">
                  <c:v>0.57905148854730604</c:v>
                </c:pt>
                <c:pt idx="18">
                  <c:v>0.17857246125821938</c:v>
                </c:pt>
                <c:pt idx="19">
                  <c:v>0.21598975201782725</c:v>
                </c:pt>
                <c:pt idx="20">
                  <c:v>0.36608921172688208</c:v>
                </c:pt>
                <c:pt idx="21">
                  <c:v>0.41870174158000267</c:v>
                </c:pt>
                <c:pt idx="22">
                  <c:v>0.37144493293857878</c:v>
                </c:pt>
                <c:pt idx="23">
                  <c:v>0.38884719042947435</c:v>
                </c:pt>
                <c:pt idx="24">
                  <c:v>0.27296774853930739</c:v>
                </c:pt>
                <c:pt idx="25">
                  <c:v>0.23671475489723151</c:v>
                </c:pt>
                <c:pt idx="26">
                  <c:v>0.31609059393261496</c:v>
                </c:pt>
                <c:pt idx="27">
                  <c:v>0.22435534294250636</c:v>
                </c:pt>
              </c:numCache>
            </c:numRef>
          </c:val>
        </c:ser>
        <c:axId val="79472896"/>
        <c:axId val="79688832"/>
      </c:barChart>
      <c:catAx>
        <c:axId val="79472896"/>
        <c:scaling>
          <c:orientation val="minMax"/>
        </c:scaling>
        <c:axPos val="b"/>
        <c:tickLblPos val="nextTo"/>
        <c:txPr>
          <a:bodyPr/>
          <a:lstStyle/>
          <a:p>
            <a:pPr>
              <a:defRPr sz="800"/>
            </a:pPr>
            <a:endParaRPr lang="pl-PL"/>
          </a:p>
        </c:txPr>
        <c:crossAx val="79688832"/>
        <c:crosses val="autoZero"/>
        <c:auto val="1"/>
        <c:lblAlgn val="ctr"/>
        <c:lblOffset val="100"/>
      </c:catAx>
      <c:valAx>
        <c:axId val="79688832"/>
        <c:scaling>
          <c:orientation val="minMax"/>
        </c:scaling>
        <c:axPos val="l"/>
        <c:majorGridlines/>
        <c:numFmt formatCode="General" sourceLinked="1"/>
        <c:tickLblPos val="nextTo"/>
        <c:txPr>
          <a:bodyPr/>
          <a:lstStyle/>
          <a:p>
            <a:pPr>
              <a:defRPr sz="800"/>
            </a:pPr>
            <a:endParaRPr lang="pl-PL"/>
          </a:p>
        </c:txPr>
        <c:crossAx val="79472896"/>
        <c:crosses val="autoZero"/>
        <c:crossBetween val="between"/>
      </c:valAx>
    </c:plotArea>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8C329-F2F0-4350-A970-4D5F0EC7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4846</Words>
  <Characters>32280</Characters>
  <Application>Microsoft Office Word</Application>
  <DocSecurity>0</DocSecurity>
  <Lines>1195</Lines>
  <Paragraphs>863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2016-12-20T18:20:00Z</dcterms:created>
  <dcterms:modified xsi:type="dcterms:W3CDTF">2016-12-20T22:53:00Z</dcterms:modified>
</cp:coreProperties>
</file>